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bookmarkStart w:id="0" w:name="_GoBack"/>
      <w:bookmarkEnd w:id="0"/>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5A4186">
        <w:rPr>
          <w:rFonts w:ascii="ＭＳ 明朝" w:hAnsi="ＭＳ 明朝" w:hint="eastAsia"/>
          <w:szCs w:val="21"/>
        </w:rPr>
        <w:t>2015</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※若手研究者を複数</w:t>
      </w:r>
      <w:r w:rsidR="00D6457D">
        <w:rPr>
          <w:rFonts w:ascii="ＭＳ 明朝" w:hAnsi="ＭＳ 明朝" w:hint="eastAsia"/>
          <w:color w:val="000000" w:themeColor="text1"/>
        </w:rPr>
        <w:t>名</w:t>
      </w:r>
      <w:r w:rsidR="00D8137A">
        <w:rPr>
          <w:rFonts w:ascii="ＭＳ 明朝" w:hAnsi="ＭＳ 明朝" w:hint="eastAsia"/>
          <w:color w:val="000000" w:themeColor="text1"/>
        </w:rPr>
        <w:t>登用する場合は、1名につき1</w:t>
      </w:r>
      <w:r>
        <w:rPr>
          <w:rFonts w:ascii="ＭＳ 明朝" w:hAnsi="ＭＳ 明朝" w:hint="eastAsia"/>
          <w:color w:val="000000" w:themeColor="text1"/>
        </w:rPr>
        <w:t>枚の育成計画書を作成し提出すること。</w:t>
      </w: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C2" w:rsidRDefault="00DB45C2" w:rsidP="0037151D">
      <w:r>
        <w:separator/>
      </w:r>
    </w:p>
  </w:endnote>
  <w:endnote w:type="continuationSeparator" w:id="0">
    <w:p w:rsidR="00DB45C2" w:rsidRDefault="00DB45C2"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D06EEE" w:rsidRPr="00D06EEE">
          <w:rPr>
            <w:noProof/>
            <w:lang w:val="ja-JP"/>
          </w:rPr>
          <w:t>1</w:t>
        </w:r>
        <w:r>
          <w:fldChar w:fldCharType="end"/>
        </w:r>
      </w:p>
    </w:sdtContent>
  </w:sdt>
  <w:p w:rsidR="00BE0B35" w:rsidRDefault="00BE0B3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C2" w:rsidRDefault="00DB45C2" w:rsidP="0037151D">
      <w:r>
        <w:separator/>
      </w:r>
    </w:p>
  </w:footnote>
  <w:footnote w:type="continuationSeparator" w:id="0">
    <w:p w:rsidR="00DB45C2" w:rsidRDefault="00DB45C2"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322223"/>
    <w:rsid w:val="00342375"/>
    <w:rsid w:val="0037151D"/>
    <w:rsid w:val="003C6ED1"/>
    <w:rsid w:val="00404730"/>
    <w:rsid w:val="00470037"/>
    <w:rsid w:val="0050275D"/>
    <w:rsid w:val="00564F8A"/>
    <w:rsid w:val="005A4186"/>
    <w:rsid w:val="005B4AFC"/>
    <w:rsid w:val="005B531E"/>
    <w:rsid w:val="00646AC9"/>
    <w:rsid w:val="006B7352"/>
    <w:rsid w:val="006D59F3"/>
    <w:rsid w:val="006F6203"/>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65C4C"/>
    <w:rsid w:val="00B710E2"/>
    <w:rsid w:val="00BB10C6"/>
    <w:rsid w:val="00BC5DC5"/>
    <w:rsid w:val="00BE0B35"/>
    <w:rsid w:val="00C34208"/>
    <w:rsid w:val="00C51040"/>
    <w:rsid w:val="00C66F66"/>
    <w:rsid w:val="00C7289B"/>
    <w:rsid w:val="00C7671B"/>
    <w:rsid w:val="00D06EEE"/>
    <w:rsid w:val="00D6457D"/>
    <w:rsid w:val="00D8137A"/>
    <w:rsid w:val="00D874D8"/>
    <w:rsid w:val="00DB45C2"/>
    <w:rsid w:val="00E065FE"/>
    <w:rsid w:val="00E84B92"/>
    <w:rsid w:val="00EB5558"/>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A4BCBC2-EADB-4372-90D1-8092ABD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dc:creator>
  <cp:lastModifiedBy>AMED</cp:lastModifiedBy>
  <cp:revision>2</cp:revision>
  <dcterms:created xsi:type="dcterms:W3CDTF">2015-07-08T01:36:00Z</dcterms:created>
  <dcterms:modified xsi:type="dcterms:W3CDTF">2015-07-08T01:49:00Z</dcterms:modified>
</cp:coreProperties>
</file>