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184BA7C9" w:rsidR="00037F28" w:rsidRPr="00FA781D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781D">
        <w:rPr>
          <w:rFonts w:asciiTheme="majorEastAsia" w:eastAsiaTheme="majorEastAsia" w:hAnsiTheme="majorEastAsia"/>
          <w:sz w:val="22"/>
          <w:szCs w:val="22"/>
        </w:rPr>
        <w:t>研究開発</w:t>
      </w:r>
      <w:r w:rsidRPr="00FA781D">
        <w:rPr>
          <w:rFonts w:asciiTheme="majorEastAsia" w:eastAsiaTheme="majorEastAsia" w:hAnsiTheme="majorEastAsia" w:hint="eastAsia"/>
          <w:sz w:val="22"/>
          <w:szCs w:val="22"/>
        </w:rPr>
        <w:t>提案書</w:t>
      </w:r>
      <w:r w:rsidR="00264882" w:rsidRPr="00FA781D">
        <w:rPr>
          <w:rFonts w:asciiTheme="majorEastAsia" w:eastAsiaTheme="majorEastAsia" w:hAnsiTheme="majorEastAsia"/>
          <w:sz w:val="22"/>
          <w:szCs w:val="22"/>
        </w:rPr>
        <w:t>別紙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4B0DB2">
        <w:rPr>
          <w:rFonts w:asciiTheme="majorEastAsia" w:eastAsiaTheme="majorEastAsia" w:hAnsiTheme="majorEastAsia" w:hint="eastAsia"/>
          <w:sz w:val="22"/>
          <w:szCs w:val="22"/>
        </w:rPr>
        <w:t>バイオマーカー</w:t>
      </w:r>
      <w:r w:rsidR="004B0DB2">
        <w:rPr>
          <w:rFonts w:asciiTheme="majorEastAsia" w:eastAsiaTheme="majorEastAsia" w:hAnsiTheme="majorEastAsia"/>
          <w:sz w:val="22"/>
          <w:szCs w:val="22"/>
        </w:rPr>
        <w:t>開発</w:t>
      </w:r>
      <w:r w:rsidR="00E81345">
        <w:rPr>
          <w:rFonts w:asciiTheme="majorEastAsia" w:eastAsiaTheme="majorEastAsia" w:hAnsiTheme="majorEastAsia" w:hint="eastAsia"/>
          <w:sz w:val="22"/>
          <w:szCs w:val="22"/>
        </w:rPr>
        <w:t>研究</w:t>
      </w:r>
      <w:r w:rsidR="00FA781D" w:rsidRPr="00FA781D">
        <w:rPr>
          <w:rFonts w:hAnsiTheme="majorEastAsia" w:hint="eastAsia"/>
          <w:sz w:val="22"/>
          <w:szCs w:val="22"/>
        </w:rPr>
        <w:t>用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91613" w:rsidRPr="00B91613" w14:paraId="2727D0EC" w14:textId="77777777" w:rsidTr="00A13784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A657D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課題名</w:t>
            </w:r>
          </w:p>
        </w:tc>
        <w:tc>
          <w:tcPr>
            <w:tcW w:w="6804" w:type="dxa"/>
          </w:tcPr>
          <w:p w14:paraId="395F9866" w14:textId="77777777" w:rsidR="00B91613" w:rsidRDefault="00B91613" w:rsidP="001A38A0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A13784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6BA9C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氏名</w:t>
            </w:r>
          </w:p>
        </w:tc>
        <w:tc>
          <w:tcPr>
            <w:tcW w:w="6804" w:type="dxa"/>
          </w:tcPr>
          <w:p w14:paraId="74B1DA72" w14:textId="264CF0CD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A13784">
        <w:tc>
          <w:tcPr>
            <w:tcW w:w="29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50C664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研究開発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所属機関名</w:t>
            </w:r>
          </w:p>
        </w:tc>
        <w:tc>
          <w:tcPr>
            <w:tcW w:w="6804" w:type="dxa"/>
          </w:tcPr>
          <w:p w14:paraId="1ED7D7E0" w14:textId="243BD338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59C5AD3F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2. </w:t>
      </w:r>
      <w:r w:rsidR="004B0DB2">
        <w:rPr>
          <w:rFonts w:asciiTheme="majorEastAsia" w:eastAsiaTheme="majorEastAsia" w:hAnsiTheme="majorEastAsia" w:hint="eastAsia"/>
          <w:b/>
          <w:sz w:val="20"/>
        </w:rPr>
        <w:t>条件付き</w:t>
      </w:r>
      <w:r w:rsidR="004B0DB2">
        <w:rPr>
          <w:rFonts w:asciiTheme="majorEastAsia" w:eastAsiaTheme="majorEastAsia" w:hAnsiTheme="majorEastAsia"/>
          <w:b/>
          <w:sz w:val="20"/>
        </w:rPr>
        <w:t>早期承認制度への該当性</w:t>
      </w:r>
      <w:r w:rsidR="00134917">
        <w:rPr>
          <w:rFonts w:asciiTheme="majorEastAsia" w:eastAsiaTheme="majorEastAsia" w:hAnsiTheme="majorEastAsia"/>
          <w:b/>
          <w:sz w:val="20"/>
        </w:rPr>
        <w:t>につい</w:t>
      </w:r>
      <w:r w:rsidR="00134917">
        <w:rPr>
          <w:rFonts w:asciiTheme="majorEastAsia" w:eastAsiaTheme="majorEastAsia" w:hAnsiTheme="majorEastAsia" w:hint="eastAsia"/>
          <w:b/>
          <w:sz w:val="20"/>
        </w:rPr>
        <w:t>て</w:t>
      </w:r>
      <w:r w:rsidR="00E81345">
        <w:rPr>
          <w:rFonts w:asciiTheme="majorEastAsia" w:eastAsiaTheme="majorEastAsia" w:hAnsiTheme="majorEastAsia" w:hint="eastAsia"/>
          <w:b/>
          <w:sz w:val="20"/>
        </w:rPr>
        <w:t>の説明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26911" w:rsidRPr="007237B4" w14:paraId="39BC5B7E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0244C46E" w14:textId="77777777" w:rsidR="00E81345" w:rsidRPr="007237B4" w:rsidRDefault="00E81345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に分類して総合的に評価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した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結果、適応疾患が重篤であると認められること</w:t>
            </w:r>
          </w:p>
          <w:p w14:paraId="57AD9866" w14:textId="5B9A2AC0" w:rsidR="00B26911" w:rsidRPr="007237B4" w:rsidRDefault="00E81345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="001E0EEB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</w:tc>
      </w:tr>
      <w:tr w:rsidR="00B26911" w:rsidRPr="007237B4" w14:paraId="17D85D88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3D3D" w14:textId="7738FCE2" w:rsidR="00E81345" w:rsidRPr="007237B4" w:rsidRDefault="00B26911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="00E81345" w:rsidRPr="007237B4">
              <w:rPr>
                <w:rFonts w:asciiTheme="majorEastAsia" w:eastAsiaTheme="majorEastAsia" w:hAnsiTheme="majorEastAsia"/>
                <w:sz w:val="20"/>
                <w:szCs w:val="20"/>
              </w:rPr>
              <w:t>生命に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重大</w:t>
            </w:r>
            <w:r w:rsidR="00E81345" w:rsidRPr="007237B4">
              <w:rPr>
                <w:rFonts w:asciiTheme="majorEastAsia" w:eastAsiaTheme="majorEastAsia" w:hAnsiTheme="majorEastAsia"/>
                <w:sz w:val="20"/>
                <w:szCs w:val="20"/>
              </w:rPr>
              <w:t>な影響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がある</w:t>
            </w:r>
            <w:r w:rsidR="00E81345" w:rsidRPr="007237B4">
              <w:rPr>
                <w:rFonts w:asciiTheme="majorEastAsia" w:eastAsiaTheme="majorEastAsia" w:hAnsiTheme="majorEastAsia"/>
                <w:sz w:val="20"/>
                <w:szCs w:val="20"/>
              </w:rPr>
              <w:t>疾患（致死的な疾患）であること</w:t>
            </w:r>
          </w:p>
          <w:p w14:paraId="411825B8" w14:textId="566BE28D" w:rsidR="00E81345" w:rsidRPr="007237B4" w:rsidRDefault="00B26911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</w:t>
            </w:r>
            <w:r w:rsidR="00E81345" w:rsidRPr="007237B4">
              <w:rPr>
                <w:rFonts w:asciiTheme="majorEastAsia" w:eastAsiaTheme="majorEastAsia" w:hAnsiTheme="majorEastAsia"/>
                <w:sz w:val="20"/>
                <w:szCs w:val="20"/>
              </w:rPr>
              <w:t>病気の進行が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不可逆</w:t>
            </w:r>
            <w:r w:rsidR="00E81345" w:rsidRPr="007237B4">
              <w:rPr>
                <w:rFonts w:asciiTheme="majorEastAsia" w:eastAsiaTheme="majorEastAsia" w:hAnsiTheme="majorEastAsia"/>
                <w:sz w:val="20"/>
                <w:szCs w:val="20"/>
              </w:rPr>
              <w:t>で、日常生活に著しい影響を及ぼす疾患であるこ</w:t>
            </w:r>
            <w:r w:rsidR="00E81345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</w:p>
          <w:p w14:paraId="7D96A8D8" w14:textId="23A1B12C" w:rsidR="00E81345" w:rsidRPr="007237B4" w:rsidRDefault="00E81345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□３．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その他</w:t>
            </w:r>
          </w:p>
        </w:tc>
      </w:tr>
      <w:tr w:rsidR="00E81345" w:rsidRPr="007237B4" w14:paraId="13EDB0F0" w14:textId="77777777" w:rsidTr="00E81345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C628E" w14:textId="248ED6A8" w:rsidR="00E81345" w:rsidRPr="007237B4" w:rsidRDefault="00E81345" w:rsidP="001A38A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上記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該当項目について</w:t>
            </w:r>
            <w:r w:rsidRPr="007237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の補足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説明（具体的なデータ等を提示すること）</w:t>
            </w:r>
          </w:p>
        </w:tc>
      </w:tr>
      <w:tr w:rsidR="00E81345" w:rsidRPr="007237B4" w14:paraId="18BEEC70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EBD4E" w14:textId="77777777" w:rsidR="00E81345" w:rsidRPr="007237B4" w:rsidRDefault="00E81345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E13904" w14:textId="77777777" w:rsidR="001E0EEB" w:rsidRPr="007237B4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D0C828" w14:textId="77777777" w:rsidR="001E0EEB" w:rsidRPr="007237B4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6FF2B6" w14:textId="77777777" w:rsidR="001E0EEB" w:rsidRPr="007237B4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6911" w:rsidRPr="007237B4" w14:paraId="00374D88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50DF401" w14:textId="77777777" w:rsidR="00B26911" w:rsidRPr="007237B4" w:rsidRDefault="00E81345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以下に分類して総合的に評価した結果、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医療上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の有用性が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高い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と認められること</w:t>
            </w:r>
          </w:p>
          <w:p w14:paraId="0F09A623" w14:textId="0CF4E36B" w:rsidR="001E0EEB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する項目に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</w:tc>
      </w:tr>
      <w:tr w:rsidR="00B26911" w:rsidRPr="007237B4" w14:paraId="226DF1B2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FD4B" w14:textId="01FC24CD" w:rsidR="00E81345" w:rsidRPr="007237B4" w:rsidRDefault="00E81345" w:rsidP="00E813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□１．既存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の治療法、予防法又は診断法がないこと</w:t>
            </w:r>
          </w:p>
          <w:p w14:paraId="49176AED" w14:textId="093F1B7B" w:rsidR="00B26911" w:rsidRPr="007237B4" w:rsidRDefault="00E81345" w:rsidP="001E0EEB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□２．有効性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、安全性、肉体的・精神的な患者負担の観点から、医療上の有用性が</w:t>
            </w:r>
            <w:r w:rsidR="001E0EEB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既存</w:t>
            </w:r>
            <w:r w:rsidR="001E0EEB" w:rsidRPr="007237B4">
              <w:rPr>
                <w:rFonts w:asciiTheme="majorEastAsia" w:eastAsiaTheme="majorEastAsia" w:hAnsiTheme="majorEastAsia"/>
                <w:sz w:val="20"/>
                <w:szCs w:val="20"/>
              </w:rPr>
              <w:t>の治療法、予防法又は診断法</w:t>
            </w:r>
            <w:r w:rsidR="001E0EEB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より</w:t>
            </w:r>
            <w:r w:rsidR="001E0EEB" w:rsidRPr="007237B4">
              <w:rPr>
                <w:rFonts w:asciiTheme="majorEastAsia" w:eastAsiaTheme="majorEastAsia" w:hAnsiTheme="majorEastAsia"/>
                <w:sz w:val="20"/>
                <w:szCs w:val="20"/>
              </w:rPr>
              <w:t>優れていること</w:t>
            </w:r>
          </w:p>
        </w:tc>
      </w:tr>
      <w:tr w:rsidR="00F410C0" w:rsidRPr="007237B4" w14:paraId="3621BA46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C4D8CDD" w14:textId="732C3D2F" w:rsidR="00F410C0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上記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該当項目について</w:t>
            </w:r>
            <w:r w:rsidRPr="007237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の補足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説明（具体的なデータ等を提示すること）</w:t>
            </w:r>
          </w:p>
        </w:tc>
      </w:tr>
      <w:tr w:rsidR="001E0EEB" w:rsidRPr="007237B4" w14:paraId="5A82C293" w14:textId="77777777" w:rsidTr="001E0EEB">
        <w:trPr>
          <w:trHeight w:val="187"/>
        </w:trPr>
        <w:tc>
          <w:tcPr>
            <w:tcW w:w="9781" w:type="dxa"/>
            <w:shd w:val="clear" w:color="auto" w:fill="auto"/>
            <w:vAlign w:val="center"/>
          </w:tcPr>
          <w:p w14:paraId="0334206D" w14:textId="77777777" w:rsidR="001E0EEB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1CC9BE4" w14:textId="77777777" w:rsidR="001E0EEB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D7D6678" w14:textId="77777777" w:rsidR="001E0EEB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95705B5" w14:textId="77777777" w:rsidR="001E0EEB" w:rsidRPr="007237B4" w:rsidRDefault="001E0EEB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F410C0" w:rsidRPr="007237B4" w14:paraId="71AEBF6D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</w:tcPr>
          <w:p w14:paraId="6AC3B975" w14:textId="41B090A1" w:rsidR="00F410C0" w:rsidRPr="007237B4" w:rsidRDefault="001E0EEB" w:rsidP="001E0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③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検証的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臨床試験の実施が困難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であるか、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実施可能であっても患者数が少ないこと等により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に相当の期間を要すると判断されること</w:t>
            </w:r>
          </w:p>
        </w:tc>
      </w:tr>
      <w:tr w:rsidR="00F410C0" w:rsidRPr="007237B4" w14:paraId="789AB71B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50053C7" w14:textId="195A6D71" w:rsidR="00F410C0" w:rsidRPr="007237B4" w:rsidRDefault="001E0EEB" w:rsidP="001E0EE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する</w:t>
            </w:r>
            <w:r w:rsidR="00F410C0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="00A13784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410C0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該当しない</w:t>
            </w:r>
          </w:p>
        </w:tc>
      </w:tr>
      <w:tr w:rsidR="00F410C0" w:rsidRPr="007237B4" w14:paraId="2892690A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FBCC9B2" w14:textId="04FF112D" w:rsidR="00F410C0" w:rsidRPr="007237B4" w:rsidRDefault="001E0EEB" w:rsidP="00F410C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項目についての補足説明（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具体的なデータ等を提示すること）</w:t>
            </w:r>
          </w:p>
        </w:tc>
      </w:tr>
      <w:tr w:rsidR="00F410C0" w:rsidRPr="007237B4" w14:paraId="38399FD9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57D6B" w14:textId="77777777" w:rsidR="00F410C0" w:rsidRPr="007237B4" w:rsidRDefault="00F410C0" w:rsidP="001E0EEB">
            <w:pP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EC96064" w14:textId="77777777" w:rsidR="001E0EEB" w:rsidRPr="007237B4" w:rsidRDefault="001E0EEB" w:rsidP="001E0EEB">
            <w:pP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0A87B7E" w14:textId="77777777" w:rsidR="001E0EEB" w:rsidRPr="007237B4" w:rsidRDefault="001E0EEB" w:rsidP="001E0EEB">
            <w:pP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59B0C74" w14:textId="6DF5EB8A" w:rsidR="00E66643" w:rsidRPr="007237B4" w:rsidRDefault="00E66643" w:rsidP="001E0EEB">
            <w:pP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36E48AF2" w14:textId="77777777" w:rsidR="001E0F56" w:rsidRDefault="001E0F5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545E21EC" w14:textId="77777777" w:rsidR="000E5436" w:rsidRDefault="000E543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3A483DCA" w14:textId="77777777" w:rsidR="000E5436" w:rsidRDefault="000E543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3A4CA458" w14:textId="09A20F94" w:rsidR="000E5436" w:rsidRPr="00FA781D" w:rsidRDefault="000E5436" w:rsidP="000E543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lastRenderedPageBreak/>
        <w:t>3. 開発</w:t>
      </w:r>
      <w:r>
        <w:rPr>
          <w:rFonts w:asciiTheme="majorEastAsia" w:eastAsiaTheme="majorEastAsia" w:hAnsiTheme="majorEastAsia"/>
          <w:b/>
          <w:sz w:val="20"/>
        </w:rPr>
        <w:t>予定のバイオマーカーに関する情報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E5436" w:rsidRPr="007237B4" w14:paraId="62FF238B" w14:textId="77777777" w:rsidTr="00B34770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8F8270D" w14:textId="6413CF84" w:rsidR="000E5436" w:rsidRPr="007237B4" w:rsidRDefault="007237B4" w:rsidP="00B3477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開発予定のバイオマーカーに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ついて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する項目に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</w:tc>
      </w:tr>
      <w:tr w:rsidR="000E5436" w:rsidRPr="007237B4" w14:paraId="2CB4CA80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7538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単独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のバイオマーカー</w:t>
            </w: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複合</w:t>
            </w:r>
            <w:r w:rsidRPr="007237B4">
              <w:rPr>
                <w:rFonts w:asciiTheme="majorEastAsia" w:eastAsiaTheme="majorEastAsia" w:hAnsiTheme="majorEastAsia"/>
                <w:sz w:val="20"/>
                <w:szCs w:val="20"/>
              </w:rPr>
              <w:t>バイオマーカー</w:t>
            </w:r>
          </w:p>
        </w:tc>
      </w:tr>
      <w:tr w:rsidR="000E5436" w:rsidRPr="007237B4" w14:paraId="7B839101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94C5E" w14:textId="037A5243" w:rsidR="000E5436" w:rsidRPr="007237B4" w:rsidRDefault="007237B4" w:rsidP="00B347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適格性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説明（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１．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「複合バイオマーカー</w:t>
            </w:r>
            <w:r w:rsidR="008D3EB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にチェックを入れた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場合は、構成する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バイオマーカー毎及び複合バイオマーカーの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各々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について、</w:t>
            </w:r>
            <w:r w:rsidR="000E5436"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適格</w:t>
            </w:r>
            <w:r w:rsidR="000E5436"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性を説明すること</w:t>
            </w:r>
          </w:p>
        </w:tc>
      </w:tr>
      <w:tr w:rsidR="000E5436" w:rsidRPr="007237B4" w14:paraId="5021E3D9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ED1EC" w14:textId="77777777" w:rsidR="000E5436" w:rsidRPr="007237B4" w:rsidRDefault="000E5436" w:rsidP="00B34770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+mn-cs"/>
                <w:color w:val="0070C0"/>
                <w:kern w:val="24"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 w:cs="+mn-cs" w:hint="eastAsia"/>
                <w:color w:val="0070C0"/>
                <w:kern w:val="24"/>
                <w:sz w:val="20"/>
                <w:szCs w:val="20"/>
              </w:rPr>
              <w:t>※適宜、平成</w:t>
            </w:r>
            <w:r w:rsidRPr="007237B4">
              <w:rPr>
                <w:rFonts w:asciiTheme="majorEastAsia" w:eastAsiaTheme="majorEastAsia" w:hAnsiTheme="majorEastAsia" w:cs="+mn-cs"/>
                <w:color w:val="0070C0"/>
                <w:kern w:val="24"/>
                <w:sz w:val="20"/>
                <w:szCs w:val="20"/>
              </w:rPr>
              <w:t>23年1月20日付け薬食審査</w:t>
            </w:r>
            <w:r w:rsidRPr="007237B4">
              <w:rPr>
                <w:rFonts w:asciiTheme="majorEastAsia" w:eastAsiaTheme="majorEastAsia" w:hAnsiTheme="majorEastAsia" w:cs="+mn-cs" w:hint="eastAsia"/>
                <w:color w:val="0070C0"/>
                <w:kern w:val="24"/>
                <w:sz w:val="20"/>
                <w:szCs w:val="20"/>
              </w:rPr>
              <w:t>発</w:t>
            </w:r>
            <w:r w:rsidRPr="007237B4">
              <w:rPr>
                <w:rFonts w:asciiTheme="majorEastAsia" w:eastAsiaTheme="majorEastAsia" w:hAnsiTheme="majorEastAsia" w:cs="+mn-cs"/>
                <w:color w:val="0070C0"/>
                <w:kern w:val="24"/>
                <w:sz w:val="20"/>
                <w:szCs w:val="20"/>
              </w:rPr>
              <w:t>0120第1号、薬食安発0120第1号「医薬品又はバイオテクノロジー応用医薬品の開発におけるバイオマーカー：適格性確認の</w:t>
            </w:r>
            <w:r w:rsidRPr="007237B4">
              <w:rPr>
                <w:rFonts w:asciiTheme="majorEastAsia" w:eastAsiaTheme="majorEastAsia" w:hAnsiTheme="majorEastAsia" w:cs="+mn-cs" w:hint="eastAsia"/>
                <w:color w:val="0070C0"/>
                <w:kern w:val="24"/>
                <w:sz w:val="20"/>
                <w:szCs w:val="20"/>
              </w:rPr>
              <w:t>ための資料における用法の記載要領、資料の構成及び様式」に記載された「バイオマーカーの適格性確認に関する提出資料の構成」の項目を参照し、</w:t>
            </w:r>
            <w:r w:rsidRPr="007237B4">
              <w:rPr>
                <w:rFonts w:asciiTheme="majorEastAsia" w:eastAsiaTheme="majorEastAsia" w:hAnsiTheme="majorEastAsia" w:cs="+mn-cs"/>
                <w:color w:val="0070C0"/>
                <w:kern w:val="24"/>
                <w:sz w:val="20"/>
                <w:szCs w:val="20"/>
              </w:rPr>
              <w:t>記載可能な事項に</w:t>
            </w:r>
            <w:r w:rsidRPr="007237B4">
              <w:rPr>
                <w:rFonts w:asciiTheme="majorEastAsia" w:eastAsiaTheme="majorEastAsia" w:hAnsiTheme="majorEastAsia" w:cs="+mn-cs" w:hint="eastAsia"/>
                <w:color w:val="0070C0"/>
                <w:kern w:val="24"/>
                <w:sz w:val="20"/>
                <w:szCs w:val="20"/>
              </w:rPr>
              <w:t>ついて記載すること。</w:t>
            </w:r>
          </w:p>
          <w:p w14:paraId="2DA7F645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9F7D00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8B365D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B16950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946F5A7" w14:textId="77777777" w:rsidR="000E5436" w:rsidRDefault="000E543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61E759CA" w14:textId="16E740FB" w:rsidR="000E5436" w:rsidRPr="00FA781D" w:rsidRDefault="000E5436" w:rsidP="000E543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4. </w:t>
      </w:r>
      <w:r w:rsidR="007237B4">
        <w:rPr>
          <w:rFonts w:asciiTheme="majorEastAsia" w:eastAsiaTheme="majorEastAsia" w:hAnsiTheme="majorEastAsia" w:hint="eastAsia"/>
          <w:b/>
          <w:sz w:val="20"/>
        </w:rPr>
        <w:t>連携</w:t>
      </w:r>
      <w:r w:rsidR="007237B4">
        <w:rPr>
          <w:rFonts w:asciiTheme="majorEastAsia" w:eastAsiaTheme="majorEastAsia" w:hAnsiTheme="majorEastAsia"/>
          <w:b/>
          <w:sz w:val="20"/>
        </w:rPr>
        <w:t>する研究</w:t>
      </w:r>
      <w:r>
        <w:rPr>
          <w:rFonts w:asciiTheme="majorEastAsia" w:eastAsiaTheme="majorEastAsia" w:hAnsiTheme="majorEastAsia"/>
          <w:b/>
          <w:sz w:val="20"/>
        </w:rPr>
        <w:t>に関する情報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237B4" w:rsidRPr="007237B4" w14:paraId="7A8C8ADD" w14:textId="77777777" w:rsidTr="006F4238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658D80E" w14:textId="718E4EC3" w:rsidR="007237B4" w:rsidRPr="007237B4" w:rsidRDefault="007237B4" w:rsidP="006F42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連携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する研究に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ついて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する項目に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  <w:p w14:paraId="7A78777A" w14:textId="496592C9" w:rsidR="007237B4" w:rsidRPr="007237B4" w:rsidRDefault="007237B4" w:rsidP="006F42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（公募要領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（４）採択条件（ｂ）への該当性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7237B4" w:rsidRPr="007237B4" w14:paraId="41332851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9DC6D" w14:textId="2BAA910B" w:rsidR="007237B4" w:rsidRPr="007237B4" w:rsidRDefault="007237B4" w:rsidP="007237B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自身の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AMED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委託研究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（課題管理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番号、研究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課題名）</w:t>
            </w:r>
          </w:p>
          <w:p w14:paraId="0F9A17B2" w14:textId="51EC8778" w:rsidR="007237B4" w:rsidRPr="007237B4" w:rsidRDefault="007237B4" w:rsidP="007237B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応募者以外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AMED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委託研究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（課題管理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番号、研究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課題名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  <w:p w14:paraId="258BAFD4" w14:textId="41AC70A1" w:rsidR="007237B4" w:rsidRPr="007237B4" w:rsidRDefault="007237B4" w:rsidP="007237B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□企業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、研究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名　研究代表者名）</w:t>
            </w:r>
          </w:p>
          <w:p w14:paraId="7CB830C0" w14:textId="271591BC" w:rsidR="007237B4" w:rsidRPr="007237B4" w:rsidRDefault="007237B4" w:rsidP="007237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7237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所属機関、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名　研究代表者名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A12A0">
              <w:rPr>
                <w:rFonts w:ascii="ＭＳ ゴシック" w:eastAsia="ＭＳ ゴシック" w:hAnsi="ＭＳ ゴシック"/>
                <w:sz w:val="20"/>
                <w:szCs w:val="20"/>
              </w:rPr>
              <w:t>研究資金の</w:t>
            </w:r>
            <w:r w:rsidR="007A12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提供元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7237B4" w:rsidRPr="007237B4" w14:paraId="74DEA538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E7AEC" w14:textId="7925F607" w:rsidR="007237B4" w:rsidRPr="007237B4" w:rsidRDefault="007237B4" w:rsidP="007A12A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7A12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連携</w:t>
            </w:r>
            <w:r w:rsidR="007A12A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する研究の進捗に関する情報</w:t>
            </w:r>
          </w:p>
        </w:tc>
      </w:tr>
      <w:tr w:rsidR="004A6AA9" w:rsidRPr="007237B4" w14:paraId="36B80CD5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FBCB" w14:textId="09C0E17F" w:rsidR="004A6AA9" w:rsidRPr="00CC0D75" w:rsidRDefault="004A6AA9" w:rsidP="006F423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C0D75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PMDA対面</w:t>
            </w:r>
            <w:r w:rsidRPr="00CC0D7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助言</w:t>
            </w:r>
            <w:r w:rsidR="006F6B6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の概要、治験</w:t>
            </w:r>
            <w:r w:rsidRPr="00CC0D75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状況</w:t>
            </w:r>
            <w:r w:rsidR="006F6B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（開始予定日、終了予定日</w:t>
            </w:r>
            <w:bookmarkStart w:id="0" w:name="_GoBack"/>
            <w:bookmarkEnd w:id="0"/>
            <w:r w:rsidR="006F6B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）、</w:t>
            </w:r>
            <w:r w:rsidRPr="00CC0D75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など</w:t>
            </w:r>
            <w:r w:rsidRPr="00CC0D7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Pr="00CC0D75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補足情報</w:t>
            </w:r>
            <w:r w:rsidRPr="00CC0D7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</w:p>
          <w:p w14:paraId="492E5D35" w14:textId="77777777" w:rsidR="004A6AA9" w:rsidRPr="00CC0D75" w:rsidRDefault="004A6AA9" w:rsidP="006F423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C52F49B" w14:textId="77777777" w:rsidR="004A6AA9" w:rsidRDefault="004A6AA9" w:rsidP="006F423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08FC652" w14:textId="705C1503" w:rsidR="008D3EB0" w:rsidRPr="00CC0D75" w:rsidRDefault="008D3EB0" w:rsidP="006F423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124AFD62" w14:textId="77777777" w:rsidR="000E5436" w:rsidRPr="000E5436" w:rsidRDefault="000E543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sectPr w:rsidR="000E5436" w:rsidRPr="000E5436" w:rsidSect="005B5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B84E" w14:textId="77777777" w:rsidR="004056E6" w:rsidRDefault="004056E6" w:rsidP="00B716D7">
      <w:r>
        <w:separator/>
      </w:r>
    </w:p>
  </w:endnote>
  <w:endnote w:type="continuationSeparator" w:id="0">
    <w:p w14:paraId="2B584E2D" w14:textId="77777777" w:rsidR="004056E6" w:rsidRDefault="004056E6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3E06" w14:textId="77777777" w:rsidR="00B074D1" w:rsidRDefault="00B074D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C15A" w14:textId="77777777" w:rsidR="00B074D1" w:rsidRDefault="00B074D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2C9E" w14:textId="77777777" w:rsidR="00B074D1" w:rsidRDefault="00B07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0A70" w14:textId="77777777" w:rsidR="004056E6" w:rsidRDefault="004056E6" w:rsidP="00B716D7">
      <w:r>
        <w:separator/>
      </w:r>
    </w:p>
  </w:footnote>
  <w:footnote w:type="continuationSeparator" w:id="0">
    <w:p w14:paraId="5DFD5F2D" w14:textId="77777777" w:rsidR="004056E6" w:rsidRDefault="004056E6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2A2A" w14:textId="77777777" w:rsidR="00B074D1" w:rsidRDefault="00B074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78E03CC1" w:rsidR="001012D9" w:rsidRPr="001012D9" w:rsidRDefault="001012D9" w:rsidP="00B26911">
    <w:pPr>
      <w:wordWrap w:val="0"/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E81345">
      <w:rPr>
        <w:rFonts w:asciiTheme="majorEastAsia" w:eastAsiaTheme="majorEastAsia" w:hAnsiTheme="majorEastAsia" w:hint="eastAsia"/>
        <w:sz w:val="22"/>
        <w:szCs w:val="22"/>
      </w:rPr>
      <w:t>バイオマーカー</w:t>
    </w:r>
    <w:r w:rsidR="00E81345">
      <w:rPr>
        <w:rFonts w:asciiTheme="majorEastAsia" w:eastAsiaTheme="majorEastAsia" w:hAnsiTheme="majorEastAsia"/>
        <w:sz w:val="22"/>
        <w:szCs w:val="22"/>
      </w:rPr>
      <w:t>開発</w:t>
    </w:r>
    <w:r w:rsidR="00E81345">
      <w:rPr>
        <w:rFonts w:asciiTheme="majorEastAsia" w:eastAsiaTheme="majorEastAsia" w:hAnsiTheme="majorEastAsia" w:hint="eastAsia"/>
        <w:sz w:val="22"/>
        <w:szCs w:val="22"/>
      </w:rPr>
      <w:t>研究</w:t>
    </w:r>
    <w:r w:rsidR="007848FD" w:rsidRPr="00FA781D">
      <w:rPr>
        <w:rFonts w:hAnsiTheme="majorEastAsia" w:hint="eastAsia"/>
        <w:sz w:val="22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E8118" w14:textId="77777777" w:rsidR="00B074D1" w:rsidRDefault="00B07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293"/>
    <w:multiLevelType w:val="hybridMultilevel"/>
    <w:tmpl w:val="0D26DEBC"/>
    <w:lvl w:ilvl="0" w:tplc="5CC45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46AA9"/>
    <w:multiLevelType w:val="hybridMultilevel"/>
    <w:tmpl w:val="A50C617A"/>
    <w:lvl w:ilvl="0" w:tplc="4E7A0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D2595"/>
    <w:multiLevelType w:val="hybridMultilevel"/>
    <w:tmpl w:val="C1BE4402"/>
    <w:lvl w:ilvl="0" w:tplc="CFA2393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A211A1"/>
    <w:multiLevelType w:val="hybridMultilevel"/>
    <w:tmpl w:val="FA32F7AE"/>
    <w:lvl w:ilvl="0" w:tplc="7E8A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736AA"/>
    <w:multiLevelType w:val="hybridMultilevel"/>
    <w:tmpl w:val="B98E0C5A"/>
    <w:lvl w:ilvl="0" w:tplc="004CC0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77B9"/>
    <w:rsid w:val="000A2DFE"/>
    <w:rsid w:val="000E5436"/>
    <w:rsid w:val="001012D9"/>
    <w:rsid w:val="0010659D"/>
    <w:rsid w:val="00114786"/>
    <w:rsid w:val="00115BC5"/>
    <w:rsid w:val="00124484"/>
    <w:rsid w:val="0012486F"/>
    <w:rsid w:val="00134917"/>
    <w:rsid w:val="001577C1"/>
    <w:rsid w:val="00161B03"/>
    <w:rsid w:val="00175FA5"/>
    <w:rsid w:val="001A38A0"/>
    <w:rsid w:val="001E0EEB"/>
    <w:rsid w:val="001E0F56"/>
    <w:rsid w:val="002030C3"/>
    <w:rsid w:val="00264882"/>
    <w:rsid w:val="0028532A"/>
    <w:rsid w:val="00290D3B"/>
    <w:rsid w:val="002A7BFA"/>
    <w:rsid w:val="002C7A0F"/>
    <w:rsid w:val="002D46ED"/>
    <w:rsid w:val="00305DCC"/>
    <w:rsid w:val="00381DA3"/>
    <w:rsid w:val="003A4F20"/>
    <w:rsid w:val="003D0758"/>
    <w:rsid w:val="004056E6"/>
    <w:rsid w:val="00470391"/>
    <w:rsid w:val="004714EA"/>
    <w:rsid w:val="00472D80"/>
    <w:rsid w:val="00487553"/>
    <w:rsid w:val="004A6AA9"/>
    <w:rsid w:val="004B0DB2"/>
    <w:rsid w:val="004C523B"/>
    <w:rsid w:val="004D0DD7"/>
    <w:rsid w:val="004D6A05"/>
    <w:rsid w:val="005B55DE"/>
    <w:rsid w:val="00635FB5"/>
    <w:rsid w:val="00675254"/>
    <w:rsid w:val="006B04E6"/>
    <w:rsid w:val="006D0B85"/>
    <w:rsid w:val="006D4E70"/>
    <w:rsid w:val="006D5958"/>
    <w:rsid w:val="006F6B68"/>
    <w:rsid w:val="0070164E"/>
    <w:rsid w:val="00723106"/>
    <w:rsid w:val="007237B4"/>
    <w:rsid w:val="00783D5A"/>
    <w:rsid w:val="007848FD"/>
    <w:rsid w:val="007A12A0"/>
    <w:rsid w:val="007C120B"/>
    <w:rsid w:val="007C1E7B"/>
    <w:rsid w:val="007E4EF6"/>
    <w:rsid w:val="007F7972"/>
    <w:rsid w:val="00834C6E"/>
    <w:rsid w:val="00851682"/>
    <w:rsid w:val="008633E9"/>
    <w:rsid w:val="008761B2"/>
    <w:rsid w:val="0089235F"/>
    <w:rsid w:val="008B7D5B"/>
    <w:rsid w:val="008D3EB0"/>
    <w:rsid w:val="0092316F"/>
    <w:rsid w:val="00934A31"/>
    <w:rsid w:val="009434D7"/>
    <w:rsid w:val="00955CFE"/>
    <w:rsid w:val="0099182C"/>
    <w:rsid w:val="00997AD2"/>
    <w:rsid w:val="009A070A"/>
    <w:rsid w:val="009A71D7"/>
    <w:rsid w:val="00A13784"/>
    <w:rsid w:val="00A241B5"/>
    <w:rsid w:val="00A46228"/>
    <w:rsid w:val="00A57BBE"/>
    <w:rsid w:val="00A8361F"/>
    <w:rsid w:val="00AA50CA"/>
    <w:rsid w:val="00AA5AA7"/>
    <w:rsid w:val="00AD0EF5"/>
    <w:rsid w:val="00AF683F"/>
    <w:rsid w:val="00AF724A"/>
    <w:rsid w:val="00B074D1"/>
    <w:rsid w:val="00B1169A"/>
    <w:rsid w:val="00B26911"/>
    <w:rsid w:val="00B716D7"/>
    <w:rsid w:val="00B87195"/>
    <w:rsid w:val="00B91613"/>
    <w:rsid w:val="00C13B47"/>
    <w:rsid w:val="00C46D5E"/>
    <w:rsid w:val="00C71ED7"/>
    <w:rsid w:val="00C91A9D"/>
    <w:rsid w:val="00CC0D75"/>
    <w:rsid w:val="00CD4E81"/>
    <w:rsid w:val="00CF37DA"/>
    <w:rsid w:val="00D402B7"/>
    <w:rsid w:val="00D44522"/>
    <w:rsid w:val="00D64AA2"/>
    <w:rsid w:val="00D919DB"/>
    <w:rsid w:val="00DE51E6"/>
    <w:rsid w:val="00E11750"/>
    <w:rsid w:val="00E2551B"/>
    <w:rsid w:val="00E63B43"/>
    <w:rsid w:val="00E66643"/>
    <w:rsid w:val="00E74E54"/>
    <w:rsid w:val="00E81345"/>
    <w:rsid w:val="00EA72BC"/>
    <w:rsid w:val="00F410C0"/>
    <w:rsid w:val="00F861F7"/>
    <w:rsid w:val="00FA781D"/>
    <w:rsid w:val="00FB1186"/>
    <w:rsid w:val="00FC500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rsid w:val="000E5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CCDD-344E-4E7A-AC64-2795AD71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2018-05-30T08:17:00Z</dcterms:created>
  <dcterms:modified xsi:type="dcterms:W3CDTF">2018-06-12T02:25:00Z</dcterms:modified>
</cp:coreProperties>
</file>