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5DFACBCB"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7C29EA69"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FD611B" w:rsidRPr="00FD611B">
        <w:rPr>
          <w:rFonts w:ascii="ＭＳ ゴシック" w:eastAsia="ＭＳ ゴシック" w:hAnsi="ＭＳ ゴシック" w:hint="eastAsia"/>
          <w:sz w:val="16"/>
          <w:szCs w:val="16"/>
        </w:rPr>
        <w:t xml:space="preserve"> 2X●●</w:t>
      </w:r>
      <w:r w:rsidR="00FD611B" w:rsidRPr="00FD611B">
        <w:rPr>
          <w:rFonts w:ascii="ＭＳ ゴシック" w:eastAsia="ＭＳ ゴシック" w:hAnsi="ＭＳ ゴシック"/>
          <w:sz w:val="16"/>
          <w:szCs w:val="16"/>
        </w:rPr>
        <w:t>0</w:t>
      </w:r>
      <w:r w:rsidR="00FD611B" w:rsidRPr="00FD611B">
        <w:rPr>
          <w:rFonts w:ascii="ＭＳ ゴシック" w:eastAsia="ＭＳ ゴシック" w:hAnsi="ＭＳ ゴシック" w:hint="eastAsia"/>
          <w:sz w:val="16"/>
          <w:szCs w:val="16"/>
        </w:rPr>
        <w:t>1</w:t>
      </w:r>
      <w:r w:rsidR="00FD611B" w:rsidRPr="00FD611B">
        <w:rPr>
          <w:rFonts w:ascii="ＭＳ ゴシック" w:eastAsia="ＭＳ ゴシック" w:hAnsi="ＭＳ ゴシック"/>
          <w:sz w:val="16"/>
          <w:szCs w:val="16"/>
        </w:rPr>
        <w:t>0</w:t>
      </w:r>
      <w:r w:rsidR="00FD611B" w:rsidRPr="00FD611B">
        <w:rPr>
          <w:rFonts w:ascii="ＭＳ ゴシック" w:eastAsia="ＭＳ ゴシック" w:hAnsi="ＭＳ ゴシック" w:hint="eastAsia"/>
          <w:sz w:val="16"/>
          <w:szCs w:val="16"/>
        </w:rPr>
        <w:t>9●●●</w:t>
      </w:r>
      <w:r w:rsidR="00FD611B">
        <w:rPr>
          <w:rFonts w:ascii="ＭＳ ゴシック" w:eastAsia="ＭＳ ゴシック" w:hAnsi="ＭＳ ゴシック" w:hint="eastAsia"/>
          <w:sz w:val="16"/>
          <w:szCs w:val="16"/>
        </w:rPr>
        <w:t>j</w:t>
      </w:r>
      <w:r w:rsidR="00FD611B" w:rsidRPr="00FD611B">
        <w:rPr>
          <w:rFonts w:ascii="ＭＳ ゴシック" w:eastAsia="ＭＳ ゴシック" w:hAnsi="ＭＳ ゴシック" w:hint="eastAsia"/>
          <w:sz w:val="16"/>
          <w:szCs w:val="16"/>
        </w:rPr>
        <w:t>●●●●　作成</w:t>
      </w:r>
      <w:r w:rsidR="00FD611B" w:rsidRPr="00FD611B">
        <w:rPr>
          <w:rFonts w:ascii="ＭＳ ゴシック" w:eastAsia="ＭＳ ゴシック" w:hAnsi="ＭＳ ゴシック"/>
          <w:sz w:val="16"/>
          <w:szCs w:val="16"/>
        </w:rPr>
        <w:t>／</w:t>
      </w:r>
      <w:r w:rsidR="00FD611B" w:rsidRPr="00FD611B">
        <w:rPr>
          <w:rFonts w:ascii="ＭＳ ゴシック" w:eastAsia="ＭＳ ゴシック" w:hAnsi="ＭＳ ゴシック" w:hint="eastAsia"/>
          <w:sz w:val="16"/>
          <w:szCs w:val="16"/>
        </w:rPr>
        <w:t>更新</w:t>
      </w:r>
      <w:r w:rsidR="00FD611B" w:rsidRPr="00FD611B">
        <w:rPr>
          <w:rFonts w:ascii="ＭＳ ゴシック" w:eastAsia="ＭＳ ゴシック" w:hAnsi="ＭＳ ゴシック"/>
          <w:sz w:val="16"/>
          <w:szCs w:val="16"/>
        </w:rPr>
        <w:t>日</w:t>
      </w:r>
      <w:r w:rsidR="00FD611B" w:rsidRPr="00FD611B">
        <w:rPr>
          <w:rFonts w:ascii="ＭＳ ゴシック" w:eastAsia="ＭＳ ゴシック" w:hAnsi="ＭＳ ゴシック" w:hint="eastAsia"/>
          <w:sz w:val="16"/>
          <w:szCs w:val="16"/>
        </w:rPr>
        <w:t xml:space="preserve">:令和　年　</w:t>
      </w:r>
      <w:r w:rsidR="00FD611B" w:rsidRPr="00FD611B">
        <w:rPr>
          <w:rFonts w:ascii="ＭＳ ゴシック" w:eastAsia="ＭＳ ゴシック" w:hAnsi="ＭＳ ゴシック"/>
          <w:sz w:val="16"/>
          <w:szCs w:val="16"/>
        </w:rPr>
        <w:t>月</w:t>
      </w:r>
      <w:r w:rsidR="00FD611B" w:rsidRPr="00FD611B">
        <w:rPr>
          <w:rFonts w:ascii="ＭＳ ゴシック" w:eastAsia="ＭＳ ゴシック" w:hAnsi="ＭＳ ゴシック" w:hint="eastAsia"/>
          <w:sz w:val="16"/>
          <w:szCs w:val="16"/>
        </w:rPr>
        <w:t xml:space="preserve">　</w:t>
      </w:r>
      <w:r w:rsidR="00FD611B" w:rsidRPr="00FD611B">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50F22FEF"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w:t>
      </w:r>
      <w:r w:rsidR="007F2C35" w:rsidRPr="00D110F4">
        <w:rPr>
          <w:rFonts w:asciiTheme="minorEastAsia" w:eastAsiaTheme="minorEastAsia" w:hAnsiTheme="minorEastAsia" w:hint="eastAsia"/>
          <w:szCs w:val="20"/>
        </w:rPr>
        <w:t>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4E99C08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実施期間：</w:t>
      </w:r>
      <w:r w:rsidR="00FD611B">
        <w:rPr>
          <w:rFonts w:asciiTheme="minorEastAsia" w:eastAsiaTheme="minorEastAsia" w:hAnsiTheme="minorEastAsia" w:hint="eastAsia"/>
          <w:szCs w:val="20"/>
        </w:rPr>
        <w:t>令和</w:t>
      </w:r>
      <w:r w:rsidR="00111997">
        <w:rPr>
          <w:rFonts w:asciiTheme="minorEastAsia" w:eastAsiaTheme="minorEastAsia" w:hAnsiTheme="minorEastAsia" w:hint="eastAsia"/>
          <w:szCs w:val="20"/>
        </w:rPr>
        <w:t>/平成</w:t>
      </w:r>
      <w:r w:rsidRPr="00D110F4">
        <w:rPr>
          <w:rFonts w:asciiTheme="minorEastAsia" w:eastAsiaTheme="minorEastAsia" w:hAnsiTheme="minorEastAsia" w:hint="eastAsia"/>
          <w:szCs w:val="20"/>
        </w:rPr>
        <w:t>○年4月1日～</w:t>
      </w:r>
      <w:r w:rsidR="00111997">
        <w:rPr>
          <w:rFonts w:asciiTheme="minorEastAsia" w:eastAsiaTheme="minorEastAsia" w:hAnsiTheme="minorEastAsia" w:hint="eastAsia"/>
          <w:szCs w:val="20"/>
        </w:rPr>
        <w:t>令和</w:t>
      </w:r>
      <w:r w:rsidRPr="00D110F4">
        <w:rPr>
          <w:rFonts w:asciiTheme="minorEastAsia" w:eastAsiaTheme="minorEastAsia" w:hAnsiTheme="minorEastAsia" w:hint="eastAsia"/>
          <w:szCs w:val="20"/>
        </w:rPr>
        <w:t>○年3月31日(予定)</w:t>
      </w:r>
    </w:p>
    <w:p w14:paraId="477D73E6" w14:textId="77777777" w:rsidR="007F2C35" w:rsidRPr="00FD611B" w:rsidRDefault="007F2C35" w:rsidP="007F2C35">
      <w:pPr>
        <w:rPr>
          <w:rFonts w:asciiTheme="minorEastAsia" w:eastAsiaTheme="minorEastAsia" w:hAnsiTheme="minorEastAsia"/>
          <w:szCs w:val="20"/>
        </w:rPr>
      </w:pPr>
    </w:p>
    <w:p w14:paraId="1B319E04" w14:textId="7E377A9E"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補助事業担当者</w:t>
      </w:r>
      <w:r w:rsidR="00D110F4">
        <w:rPr>
          <w:rFonts w:asciiTheme="minorEastAsia" w:eastAsiaTheme="minorEastAsia" w:hAnsiTheme="minorEastAsia" w:hint="eastAsia"/>
          <w:szCs w:val="20"/>
        </w:rPr>
        <w:t xml:space="preserve">　</w:t>
      </w:r>
      <w:r w:rsidR="007F2C35"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607CD1CE" w:rsidR="007F2C35" w:rsidRPr="00D110F4" w:rsidRDefault="00FD611B" w:rsidP="007F2C35">
      <w:pPr>
        <w:rPr>
          <w:rFonts w:asciiTheme="minorEastAsia" w:eastAsiaTheme="minorEastAsia" w:hAnsiTheme="minorEastAsia"/>
          <w:szCs w:val="20"/>
        </w:rPr>
      </w:pPr>
      <w:r>
        <w:rPr>
          <w:rFonts w:asciiTheme="minorEastAsia" w:eastAsiaTheme="minorEastAsia" w:hAnsiTheme="minorEastAsia" w:hint="eastAsia"/>
          <w:szCs w:val="20"/>
        </w:rPr>
        <w:t>補助事業担当者</w:t>
      </w:r>
      <w:r w:rsidR="007F2C35" w:rsidRPr="00D110F4">
        <w:rPr>
          <w:rFonts w:asciiTheme="minorEastAsia" w:eastAsiaTheme="minorEastAsia" w:hAnsiTheme="minorEastAsia" w:hint="eastAsia"/>
          <w:szCs w:val="20"/>
        </w:rPr>
        <w:t xml:space="preserve">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05976ACF"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00FD611B">
        <w:rPr>
          <w:rFonts w:asciiTheme="minorEastAsia" w:eastAsiaTheme="minorEastAsia" w:hAnsiTheme="minorEastAsia" w:hint="eastAsia"/>
          <w:b/>
          <w:sz w:val="24"/>
          <w:szCs w:val="20"/>
        </w:rPr>
        <w:t>補助事業</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03546F89" w:rsidR="007F2C35" w:rsidRPr="00CE2883" w:rsidRDefault="00FD611B" w:rsidP="00BB7DFF">
      <w:pPr>
        <w:pStyle w:val="a7"/>
        <w:ind w:leftChars="0" w:left="420"/>
        <w:rPr>
          <w:rFonts w:asciiTheme="minorEastAsia" w:eastAsiaTheme="minorEastAsia" w:hAnsiTheme="minorEastAsia"/>
          <w:szCs w:val="20"/>
        </w:rPr>
      </w:pPr>
      <w:r>
        <w:rPr>
          <w:rFonts w:asciiTheme="minorEastAsia" w:eastAsiaTheme="minorEastAsia" w:hAnsiTheme="minorEastAsia" w:hint="eastAsia"/>
          <w:szCs w:val="20"/>
        </w:rPr>
        <w:t>補助事業</w:t>
      </w:r>
      <w:r w:rsidR="008E602C" w:rsidRPr="00CE2883">
        <w:rPr>
          <w:rFonts w:asciiTheme="minorEastAsia" w:eastAsiaTheme="minorEastAsia" w:hAnsiTheme="minorEastAsia" w:hint="eastAsia"/>
          <w:szCs w:val="20"/>
        </w:rPr>
        <w:t>の</w:t>
      </w:r>
      <w:r w:rsidR="008E602C"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B451F" w14:textId="77777777" w:rsidR="006D7186" w:rsidRDefault="006D7186">
      <w:r>
        <w:separator/>
      </w:r>
    </w:p>
  </w:endnote>
  <w:endnote w:type="continuationSeparator" w:id="0">
    <w:p w14:paraId="0E70136C" w14:textId="77777777" w:rsidR="006D7186" w:rsidRDefault="006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42265D">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9C45A" w14:textId="77777777" w:rsidR="006D7186" w:rsidRDefault="006D7186">
      <w:r>
        <w:separator/>
      </w:r>
    </w:p>
  </w:footnote>
  <w:footnote w:type="continuationSeparator" w:id="0">
    <w:p w14:paraId="61903C67" w14:textId="77777777" w:rsidR="006D7186" w:rsidRDefault="006D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1D"/>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1997"/>
    <w:rsid w:val="001179F9"/>
    <w:rsid w:val="00120986"/>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265D"/>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186"/>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B6986"/>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D611B"/>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EC2D-7857-4ED4-ACCA-A46D6D1E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2021-04-12T08:09:00Z</dcterms:created>
  <dcterms:modified xsi:type="dcterms:W3CDTF">2021-04-12T08:09:00Z</dcterms:modified>
</cp:coreProperties>
</file>