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C293477" w:rsidR="00D93361" w:rsidRDefault="00000000">
      <w:pPr>
        <w:widowControl w:val="0"/>
        <w:pBdr>
          <w:top w:val="nil"/>
          <w:left w:val="nil"/>
          <w:bottom w:val="nil"/>
          <w:right w:val="nil"/>
          <w:between w:val="nil"/>
        </w:pBdr>
        <w:ind w:left="574" w:hanging="574"/>
        <w:jc w:val="center"/>
        <w:rPr>
          <w:color w:val="000000"/>
          <w:sz w:val="28"/>
          <w:szCs w:val="28"/>
        </w:rPr>
      </w:pPr>
      <w:sdt>
        <w:sdtPr>
          <w:tag w:val="goog_rdk_0"/>
          <w:id w:val="2015334427"/>
        </w:sdtPr>
        <w:sdtContent/>
      </w:sdt>
      <w:r w:rsidR="008837BF">
        <w:rPr>
          <w:rFonts w:eastAsia="Century"/>
          <w:b/>
          <w:color w:val="000000"/>
          <w:sz w:val="28"/>
          <w:szCs w:val="28"/>
        </w:rPr>
        <w:t>運送業務委託</w:t>
      </w:r>
      <w:r w:rsidR="000B1025">
        <w:rPr>
          <w:rFonts w:ascii="ＭＳ 明朝" w:eastAsia="ＭＳ 明朝" w:hAnsi="ＭＳ 明朝" w:cs="ＭＳ 明朝" w:hint="eastAsia"/>
          <w:b/>
          <w:color w:val="000000"/>
          <w:sz w:val="28"/>
          <w:szCs w:val="28"/>
        </w:rPr>
        <w:t>に関する</w:t>
      </w:r>
      <w:r w:rsidR="00AA3906">
        <w:rPr>
          <w:rFonts w:ascii="ＭＳ 明朝" w:eastAsia="ＭＳ 明朝" w:hAnsi="ＭＳ 明朝" w:cs="ＭＳ 明朝" w:hint="eastAsia"/>
          <w:b/>
          <w:color w:val="000000"/>
          <w:sz w:val="28"/>
          <w:szCs w:val="28"/>
        </w:rPr>
        <w:t>覚</w:t>
      </w:r>
      <w:r w:rsidR="008837BF">
        <w:rPr>
          <w:rFonts w:eastAsia="Century"/>
          <w:b/>
          <w:color w:val="000000"/>
          <w:sz w:val="28"/>
          <w:szCs w:val="28"/>
        </w:rPr>
        <w:t>書</w:t>
      </w:r>
    </w:p>
    <w:p w14:paraId="00000003" w14:textId="77777777" w:rsidR="00D93361" w:rsidRDefault="00D93361">
      <w:pPr>
        <w:widowControl w:val="0"/>
        <w:pBdr>
          <w:top w:val="nil"/>
          <w:left w:val="nil"/>
          <w:bottom w:val="nil"/>
          <w:right w:val="nil"/>
          <w:between w:val="nil"/>
        </w:pBdr>
        <w:ind w:left="453" w:hanging="453"/>
        <w:jc w:val="both"/>
        <w:rPr>
          <w:color w:val="000000"/>
          <w:sz w:val="22"/>
          <w:szCs w:val="22"/>
        </w:rPr>
      </w:pPr>
    </w:p>
    <w:p w14:paraId="00000004" w14:textId="69B64158" w:rsidR="00D93361" w:rsidRPr="00D43532" w:rsidRDefault="00731975" w:rsidP="008D389B">
      <w:pPr>
        <w:widowControl w:val="0"/>
        <w:pBdr>
          <w:top w:val="nil"/>
          <w:left w:val="nil"/>
          <w:bottom w:val="nil"/>
          <w:right w:val="nil"/>
          <w:between w:val="nil"/>
        </w:pBdr>
        <w:ind w:left="2"/>
        <w:jc w:val="both"/>
        <w:rPr>
          <w:rFonts w:asciiTheme="minorEastAsia" w:hAnsiTheme="minorEastAsia"/>
          <w:color w:val="000000"/>
          <w:sz w:val="21"/>
          <w:szCs w:val="21"/>
        </w:rPr>
      </w:pPr>
      <w:r>
        <w:rPr>
          <w:rFonts w:ascii="ＭＳ 明朝" w:eastAsia="ＭＳ 明朝" w:hAnsi="ＭＳ 明朝" w:cs="ＭＳ 明朝" w:hint="eastAsia"/>
          <w:color w:val="000000"/>
          <w:sz w:val="21"/>
          <w:szCs w:val="21"/>
        </w:rPr>
        <w:t>●●●</w:t>
      </w:r>
      <w:r w:rsidR="008837BF">
        <w:rPr>
          <w:rFonts w:eastAsia="Century"/>
          <w:color w:val="000000"/>
          <w:sz w:val="21"/>
          <w:szCs w:val="21"/>
        </w:rPr>
        <w:t>大学病院（以下「甲」という。）と</w:t>
      </w:r>
      <w:r>
        <w:rPr>
          <w:rFonts w:ascii="ＭＳ 明朝" w:eastAsia="ＭＳ 明朝" w:hAnsi="ＭＳ 明朝" w:cs="ＭＳ 明朝" w:hint="eastAsia"/>
          <w:color w:val="000000"/>
          <w:sz w:val="21"/>
          <w:szCs w:val="21"/>
        </w:rPr>
        <w:t>▲▲▲</w:t>
      </w:r>
      <w:r w:rsidR="008837BF">
        <w:rPr>
          <w:rFonts w:eastAsia="Century"/>
          <w:color w:val="000000"/>
          <w:sz w:val="21"/>
          <w:szCs w:val="21"/>
        </w:rPr>
        <w:t>株式会社（以下「乙」という。）とは、甲</w:t>
      </w:r>
      <w:r w:rsidR="008D389B">
        <w:rPr>
          <w:rFonts w:asciiTheme="minorEastAsia" w:hAnsiTheme="minorEastAsia" w:hint="eastAsia"/>
          <w:color w:val="000000"/>
          <w:sz w:val="21"/>
          <w:szCs w:val="21"/>
        </w:rPr>
        <w:t>または第２条第２項に定めるパートナー機関において治験薬の運送試験（以下「本件試験」という。）を行うにあたり、乙が</w:t>
      </w:r>
      <w:r w:rsidR="00AA3906">
        <w:rPr>
          <w:rFonts w:ascii="ＭＳ 明朝" w:eastAsia="ＭＳ 明朝" w:hAnsi="ＭＳ 明朝" w:cs="ＭＳ 明朝" w:hint="eastAsia"/>
          <w:color w:val="000000"/>
          <w:sz w:val="21"/>
          <w:szCs w:val="21"/>
        </w:rPr>
        <w:t>治験における</w:t>
      </w:r>
      <w:r w:rsidR="008837BF">
        <w:rPr>
          <w:rFonts w:eastAsia="Century"/>
          <w:color w:val="000000"/>
          <w:sz w:val="21"/>
          <w:szCs w:val="21"/>
        </w:rPr>
        <w:t>物品（以下「荷物」という。）の</w:t>
      </w:r>
      <w:r w:rsidR="008D389B">
        <w:rPr>
          <w:rFonts w:asciiTheme="minorEastAsia" w:hAnsiTheme="minorEastAsia" w:hint="eastAsia"/>
          <w:color w:val="000000"/>
          <w:sz w:val="21"/>
          <w:szCs w:val="21"/>
        </w:rPr>
        <w:t>宅急便としての</w:t>
      </w:r>
      <w:r w:rsidR="008837BF">
        <w:rPr>
          <w:rFonts w:eastAsia="Century"/>
          <w:color w:val="000000"/>
          <w:sz w:val="21"/>
          <w:szCs w:val="21"/>
        </w:rPr>
        <w:t>運送及びこれに付帯する業務（以下「本件業務」という。）</w:t>
      </w:r>
      <w:r w:rsidR="008D389B">
        <w:rPr>
          <w:rFonts w:asciiTheme="minorEastAsia" w:hAnsiTheme="minorEastAsia" w:hint="eastAsia"/>
          <w:color w:val="000000"/>
          <w:sz w:val="21"/>
          <w:szCs w:val="21"/>
        </w:rPr>
        <w:t>を実施することについて</w:t>
      </w:r>
      <w:r w:rsidR="008837BF">
        <w:rPr>
          <w:rFonts w:eastAsia="Century"/>
          <w:color w:val="000000"/>
          <w:sz w:val="21"/>
          <w:szCs w:val="21"/>
        </w:rPr>
        <w:t>、次のとおり運送業務委託</w:t>
      </w:r>
      <w:r w:rsidR="00D86968">
        <w:rPr>
          <w:rFonts w:ascii="ＭＳ 明朝" w:eastAsia="ＭＳ 明朝" w:hAnsi="ＭＳ 明朝" w:cs="ＭＳ 明朝" w:hint="eastAsia"/>
          <w:color w:val="000000"/>
          <w:sz w:val="21"/>
          <w:szCs w:val="21"/>
        </w:rPr>
        <w:t>に関する覚書</w:t>
      </w:r>
      <w:r w:rsidR="008837BF">
        <w:rPr>
          <w:rFonts w:eastAsia="Century"/>
          <w:color w:val="000000"/>
          <w:sz w:val="21"/>
          <w:szCs w:val="21"/>
        </w:rPr>
        <w:t>（以下「本</w:t>
      </w:r>
      <w:r w:rsidR="00D86968">
        <w:rPr>
          <w:rFonts w:ascii="ＭＳ 明朝" w:eastAsia="ＭＳ 明朝" w:hAnsi="ＭＳ 明朝" w:cs="ＭＳ 明朝" w:hint="eastAsia"/>
          <w:color w:val="000000"/>
          <w:sz w:val="21"/>
          <w:szCs w:val="21"/>
        </w:rPr>
        <w:t>覚書</w:t>
      </w:r>
      <w:r w:rsidR="008837BF">
        <w:rPr>
          <w:rFonts w:eastAsia="Century"/>
          <w:color w:val="000000"/>
          <w:sz w:val="21"/>
          <w:szCs w:val="21"/>
        </w:rPr>
        <w:t>」という。）を締結する。</w:t>
      </w:r>
    </w:p>
    <w:p w14:paraId="00000005" w14:textId="77777777" w:rsidR="00D93361" w:rsidRDefault="00D93361">
      <w:pPr>
        <w:widowControl w:val="0"/>
        <w:pBdr>
          <w:top w:val="nil"/>
          <w:left w:val="nil"/>
          <w:bottom w:val="nil"/>
          <w:right w:val="nil"/>
          <w:between w:val="nil"/>
        </w:pBdr>
        <w:ind w:left="433" w:hanging="433"/>
        <w:jc w:val="both"/>
        <w:rPr>
          <w:color w:val="000000"/>
          <w:sz w:val="21"/>
          <w:szCs w:val="21"/>
        </w:rPr>
      </w:pPr>
    </w:p>
    <w:p w14:paraId="00000006" w14:textId="77777777" w:rsidR="00D93361" w:rsidRDefault="008837BF">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第１条（基本契約）</w:t>
      </w:r>
    </w:p>
    <w:p w14:paraId="00000007" w14:textId="2ADF3B65" w:rsidR="00D93361" w:rsidRDefault="008837BF">
      <w:pPr>
        <w:widowControl w:val="0"/>
        <w:pBdr>
          <w:top w:val="nil"/>
          <w:left w:val="nil"/>
          <w:bottom w:val="nil"/>
          <w:right w:val="nil"/>
          <w:between w:val="nil"/>
        </w:pBdr>
        <w:ind w:left="886" w:hanging="433"/>
        <w:jc w:val="both"/>
        <w:rPr>
          <w:color w:val="000000"/>
          <w:sz w:val="21"/>
          <w:szCs w:val="21"/>
        </w:rPr>
      </w:pPr>
      <w:r>
        <w:rPr>
          <w:rFonts w:eastAsia="Century"/>
          <w:color w:val="000000"/>
          <w:sz w:val="21"/>
          <w:szCs w:val="21"/>
        </w:rPr>
        <w:t>甲及び乙は、信義誠実の原則に則り、本</w:t>
      </w:r>
      <w:r w:rsidR="00D86968">
        <w:rPr>
          <w:rFonts w:ascii="ＭＳ 明朝" w:eastAsia="ＭＳ 明朝" w:hAnsi="ＭＳ 明朝" w:cs="ＭＳ 明朝" w:hint="eastAsia"/>
          <w:color w:val="000000"/>
          <w:sz w:val="21"/>
          <w:szCs w:val="21"/>
        </w:rPr>
        <w:t>覚書</w:t>
      </w:r>
      <w:r>
        <w:rPr>
          <w:rFonts w:eastAsia="Century"/>
          <w:color w:val="000000"/>
          <w:sz w:val="21"/>
          <w:szCs w:val="21"/>
        </w:rPr>
        <w:t>の各条項に従い、誠実に本</w:t>
      </w:r>
      <w:r w:rsidR="00D86968">
        <w:rPr>
          <w:rFonts w:ascii="ＭＳ 明朝" w:eastAsia="ＭＳ 明朝" w:hAnsi="ＭＳ 明朝" w:cs="ＭＳ 明朝" w:hint="eastAsia"/>
          <w:color w:val="000000"/>
          <w:sz w:val="21"/>
          <w:szCs w:val="21"/>
        </w:rPr>
        <w:t>覚書</w:t>
      </w:r>
      <w:r>
        <w:rPr>
          <w:rFonts w:eastAsia="Century"/>
          <w:color w:val="000000"/>
          <w:sz w:val="21"/>
          <w:szCs w:val="21"/>
        </w:rPr>
        <w:t>を履行する。</w:t>
      </w:r>
    </w:p>
    <w:p w14:paraId="00000008" w14:textId="77777777" w:rsidR="00D93361" w:rsidRDefault="00D93361">
      <w:pPr>
        <w:widowControl w:val="0"/>
        <w:pBdr>
          <w:top w:val="nil"/>
          <w:left w:val="nil"/>
          <w:bottom w:val="nil"/>
          <w:right w:val="nil"/>
          <w:between w:val="nil"/>
        </w:pBdr>
        <w:ind w:left="433" w:hanging="433"/>
        <w:jc w:val="both"/>
        <w:rPr>
          <w:color w:val="000000"/>
          <w:sz w:val="21"/>
          <w:szCs w:val="21"/>
        </w:rPr>
      </w:pPr>
    </w:p>
    <w:p w14:paraId="00000009" w14:textId="77777777" w:rsidR="00D93361" w:rsidRDefault="008837BF">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第２条（目的）</w:t>
      </w:r>
    </w:p>
    <w:p w14:paraId="0ADAB63B" w14:textId="4D20A9B3" w:rsidR="00AA3906" w:rsidRDefault="008D389B">
      <w:pPr>
        <w:widowControl w:val="0"/>
        <w:pBdr>
          <w:top w:val="nil"/>
          <w:left w:val="nil"/>
          <w:bottom w:val="nil"/>
          <w:right w:val="nil"/>
          <w:between w:val="nil"/>
        </w:pBdr>
        <w:ind w:left="453"/>
        <w:jc w:val="both"/>
        <w:rPr>
          <w:color w:val="000000"/>
          <w:sz w:val="21"/>
          <w:szCs w:val="21"/>
        </w:rPr>
      </w:pPr>
      <w:r>
        <w:rPr>
          <w:rFonts w:hint="eastAsia"/>
          <w:color w:val="000000"/>
          <w:sz w:val="21"/>
          <w:szCs w:val="21"/>
        </w:rPr>
        <w:t>乙は、甲において本件試験を実施するにあたり、本件業務に適用される乙の宅急便約款（以下「約款」という。）を甲に提供し、</w:t>
      </w:r>
      <w:r w:rsidR="00AA3906">
        <w:rPr>
          <w:rFonts w:hint="eastAsia"/>
          <w:color w:val="000000"/>
          <w:sz w:val="21"/>
          <w:szCs w:val="21"/>
        </w:rPr>
        <w:t>甲は、</w:t>
      </w:r>
      <w:r w:rsidR="00AA3906">
        <w:rPr>
          <w:rFonts w:ascii="ＭＳ 明朝" w:eastAsia="ＭＳ 明朝" w:hAnsi="ＭＳ 明朝" w:cs="ＭＳ 明朝" w:hint="eastAsia"/>
          <w:color w:val="000000"/>
          <w:sz w:val="21"/>
          <w:szCs w:val="21"/>
        </w:rPr>
        <w:t>医薬品の臨床試験の実施の基準に関する省令第</w:t>
      </w:r>
      <w:r w:rsidR="00AA3906">
        <w:rPr>
          <w:rFonts w:eastAsia="Century"/>
          <w:color w:val="000000"/>
          <w:sz w:val="21"/>
          <w:szCs w:val="21"/>
        </w:rPr>
        <w:t>39</w:t>
      </w:r>
      <w:r w:rsidR="00AA3906">
        <w:rPr>
          <w:rFonts w:ascii="ＭＳ 明朝" w:eastAsia="ＭＳ 明朝" w:hAnsi="ＭＳ 明朝" w:cs="ＭＳ 明朝" w:hint="eastAsia"/>
          <w:color w:val="000000"/>
          <w:sz w:val="21"/>
          <w:szCs w:val="21"/>
        </w:rPr>
        <w:t>条の２の各号に掲げる事項が約款に含まれていることを確認した。</w:t>
      </w:r>
    </w:p>
    <w:p w14:paraId="1A14138D" w14:textId="210D6C0B" w:rsidR="00AA3906" w:rsidRPr="00AA3906" w:rsidRDefault="008837BF" w:rsidP="00AA3906">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 xml:space="preserve">２　</w:t>
      </w:r>
      <w:r w:rsidR="00AA3906">
        <w:rPr>
          <w:rFonts w:ascii="ＭＳ 明朝" w:eastAsia="ＭＳ 明朝" w:hAnsi="ＭＳ 明朝" w:cs="ＭＳ 明朝" w:hint="eastAsia"/>
          <w:color w:val="000000"/>
          <w:sz w:val="21"/>
          <w:szCs w:val="21"/>
        </w:rPr>
        <w:t>甲あるいは甲が実施する治験の実施医療機関（以下「パートナー機関」という。）は乙に本件業務を委託し、乙はこれを受託する。乙は甲あるいはパートナー機関から引き受けた荷物を甲あるいはパートナー機関の指示に従い、迅速、確実に運送するものとする。</w:t>
      </w:r>
    </w:p>
    <w:p w14:paraId="0000000B" w14:textId="535F77C8" w:rsidR="00D93361" w:rsidRDefault="00AA3906">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 xml:space="preserve">３　</w:t>
      </w:r>
      <w:r>
        <w:rPr>
          <w:rFonts w:eastAsia="Century"/>
          <w:color w:val="000000"/>
          <w:sz w:val="21"/>
          <w:szCs w:val="21"/>
        </w:rPr>
        <w:t>本件業務上の実施上の細目については、</w:t>
      </w:r>
      <w:r>
        <w:rPr>
          <w:rFonts w:ascii="ＭＳ 明朝" w:eastAsia="ＭＳ 明朝" w:hAnsi="ＭＳ 明朝" w:cs="ＭＳ 明朝" w:hint="eastAsia"/>
          <w:color w:val="000000"/>
          <w:sz w:val="21"/>
          <w:szCs w:val="21"/>
        </w:rPr>
        <w:t>別途</w:t>
      </w:r>
      <w:r w:rsidR="004A74BC">
        <w:rPr>
          <w:rFonts w:ascii="ＭＳ 明朝" w:eastAsia="ＭＳ 明朝" w:hAnsi="ＭＳ 明朝" w:cs="ＭＳ 明朝" w:hint="eastAsia"/>
          <w:color w:val="000000"/>
          <w:sz w:val="21"/>
          <w:szCs w:val="21"/>
        </w:rPr>
        <w:t>治験に係る配送業務（治験薬を含む）手順書</w:t>
      </w:r>
      <w:r w:rsidR="00FE3EA5">
        <w:rPr>
          <w:rFonts w:ascii="ＭＳ 明朝" w:eastAsia="ＭＳ 明朝" w:hAnsi="ＭＳ 明朝" w:cs="ＭＳ 明朝" w:hint="eastAsia"/>
          <w:color w:val="000000"/>
          <w:sz w:val="21"/>
          <w:szCs w:val="21"/>
        </w:rPr>
        <w:t>及び</w:t>
      </w:r>
      <w:r>
        <w:rPr>
          <w:rFonts w:eastAsia="Century"/>
          <w:color w:val="000000"/>
          <w:sz w:val="21"/>
          <w:szCs w:val="21"/>
        </w:rPr>
        <w:t>約款に定めるとおりとする。</w:t>
      </w:r>
      <w:r w:rsidR="00FE3EA5">
        <w:rPr>
          <w:rFonts w:asciiTheme="minorEastAsia" w:hAnsiTheme="minorEastAsia" w:hint="eastAsia"/>
          <w:color w:val="000000"/>
          <w:sz w:val="21"/>
          <w:szCs w:val="21"/>
        </w:rPr>
        <w:t>なお、手順書及び</w:t>
      </w:r>
      <w:r w:rsidR="004A74BC">
        <w:rPr>
          <w:rFonts w:ascii="ＭＳ 明朝" w:eastAsia="ＭＳ 明朝" w:hAnsi="ＭＳ 明朝" w:cs="ＭＳ 明朝" w:hint="eastAsia"/>
          <w:color w:val="000000"/>
          <w:sz w:val="21"/>
          <w:szCs w:val="21"/>
        </w:rPr>
        <w:t>約款に定め</w:t>
      </w:r>
      <w:r w:rsidR="00FE3EA5">
        <w:rPr>
          <w:rFonts w:ascii="ＭＳ 明朝" w:eastAsia="ＭＳ 明朝" w:hAnsi="ＭＳ 明朝" w:cs="ＭＳ 明朝" w:hint="eastAsia"/>
          <w:color w:val="000000"/>
          <w:sz w:val="21"/>
          <w:szCs w:val="21"/>
        </w:rPr>
        <w:t>の</w:t>
      </w:r>
      <w:r w:rsidR="004A74BC">
        <w:rPr>
          <w:rFonts w:ascii="ＭＳ 明朝" w:eastAsia="ＭＳ 明朝" w:hAnsi="ＭＳ 明朝" w:cs="ＭＳ 明朝" w:hint="eastAsia"/>
          <w:color w:val="000000"/>
          <w:sz w:val="21"/>
          <w:szCs w:val="21"/>
        </w:rPr>
        <w:t>ない事項</w:t>
      </w:r>
      <w:r w:rsidR="00FE3EA5">
        <w:rPr>
          <w:rFonts w:ascii="ＭＳ 明朝" w:eastAsia="ＭＳ 明朝" w:hAnsi="ＭＳ 明朝" w:cs="ＭＳ 明朝" w:hint="eastAsia"/>
          <w:color w:val="000000"/>
          <w:sz w:val="21"/>
          <w:szCs w:val="21"/>
        </w:rPr>
        <w:t>（運賃等、支払方法等を含むがこれに限らない。）</w:t>
      </w:r>
      <w:r w:rsidR="004A74BC">
        <w:rPr>
          <w:rFonts w:ascii="ＭＳ 明朝" w:eastAsia="ＭＳ 明朝" w:hAnsi="ＭＳ 明朝" w:cs="ＭＳ 明朝" w:hint="eastAsia"/>
          <w:color w:val="000000"/>
          <w:sz w:val="21"/>
          <w:szCs w:val="21"/>
        </w:rPr>
        <w:t>については、必要に応じて甲乙間において別途協議のうえ定める。</w:t>
      </w:r>
    </w:p>
    <w:p w14:paraId="0000000C" w14:textId="77777777" w:rsidR="00D93361" w:rsidRDefault="00D93361">
      <w:pPr>
        <w:widowControl w:val="0"/>
        <w:pBdr>
          <w:top w:val="nil"/>
          <w:left w:val="nil"/>
          <w:bottom w:val="nil"/>
          <w:right w:val="nil"/>
          <w:between w:val="nil"/>
        </w:pBdr>
        <w:ind w:left="433" w:hanging="433"/>
        <w:jc w:val="both"/>
        <w:rPr>
          <w:color w:val="000000"/>
          <w:sz w:val="21"/>
          <w:szCs w:val="21"/>
        </w:rPr>
      </w:pPr>
    </w:p>
    <w:p w14:paraId="00000047" w14:textId="482DA7BD" w:rsidR="00D93361" w:rsidRPr="004A74BC" w:rsidRDefault="008837BF" w:rsidP="004A74BC">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第３条（</w:t>
      </w:r>
      <w:r w:rsidR="004A74BC">
        <w:rPr>
          <w:rFonts w:ascii="ＭＳ 明朝" w:eastAsia="ＭＳ 明朝" w:hAnsi="ＭＳ 明朝" w:cs="ＭＳ 明朝" w:hint="eastAsia"/>
          <w:color w:val="000000"/>
          <w:sz w:val="21"/>
          <w:szCs w:val="21"/>
        </w:rPr>
        <w:t>期間</w:t>
      </w:r>
      <w:r>
        <w:rPr>
          <w:rFonts w:eastAsia="Century"/>
          <w:color w:val="000000"/>
          <w:sz w:val="21"/>
          <w:szCs w:val="21"/>
        </w:rPr>
        <w:t>）</w:t>
      </w:r>
    </w:p>
    <w:p w14:paraId="0000005C" w14:textId="149A0439" w:rsidR="00D93361" w:rsidRDefault="008837BF" w:rsidP="001608DC">
      <w:pPr>
        <w:widowControl w:val="0"/>
        <w:pBdr>
          <w:top w:val="nil"/>
          <w:left w:val="nil"/>
          <w:bottom w:val="nil"/>
          <w:right w:val="nil"/>
          <w:between w:val="nil"/>
        </w:pBdr>
        <w:ind w:left="453"/>
        <w:jc w:val="both"/>
        <w:rPr>
          <w:color w:val="000000"/>
          <w:sz w:val="21"/>
          <w:szCs w:val="21"/>
        </w:rPr>
      </w:pPr>
      <w:r>
        <w:rPr>
          <w:rFonts w:eastAsia="Century"/>
          <w:color w:val="000000"/>
          <w:sz w:val="21"/>
          <w:szCs w:val="21"/>
        </w:rPr>
        <w:t>本</w:t>
      </w:r>
      <w:r w:rsidR="00D86968">
        <w:rPr>
          <w:rFonts w:ascii="ＭＳ 明朝" w:eastAsia="ＭＳ 明朝" w:hAnsi="ＭＳ 明朝" w:cs="ＭＳ 明朝" w:hint="eastAsia"/>
          <w:color w:val="000000"/>
          <w:sz w:val="21"/>
          <w:szCs w:val="21"/>
        </w:rPr>
        <w:t>覚書</w:t>
      </w:r>
      <w:r>
        <w:rPr>
          <w:rFonts w:eastAsia="Century"/>
          <w:color w:val="000000"/>
          <w:sz w:val="21"/>
          <w:szCs w:val="21"/>
        </w:rPr>
        <w:t>の有効期間は、</w:t>
      </w:r>
      <w:r w:rsidR="00D43532">
        <w:rPr>
          <w:rFonts w:ascii="ＭＳ 明朝" w:eastAsia="ＭＳ 明朝" w:hAnsi="ＭＳ 明朝" w:cs="ＭＳ 明朝" w:hint="eastAsia"/>
          <w:color w:val="000000"/>
          <w:sz w:val="21"/>
          <w:szCs w:val="21"/>
        </w:rPr>
        <w:t>●●</w:t>
      </w:r>
      <w:r>
        <w:rPr>
          <w:rFonts w:eastAsia="Century"/>
          <w:color w:val="000000"/>
          <w:sz w:val="21"/>
          <w:szCs w:val="21"/>
        </w:rPr>
        <w:t>年</w:t>
      </w:r>
      <w:r w:rsidR="00D43532">
        <w:rPr>
          <w:rFonts w:ascii="ＭＳ 明朝" w:eastAsia="ＭＳ 明朝" w:hAnsi="ＭＳ 明朝" w:cs="ＭＳ 明朝" w:hint="eastAsia"/>
          <w:color w:val="000000"/>
          <w:sz w:val="21"/>
          <w:szCs w:val="21"/>
        </w:rPr>
        <w:t>●</w:t>
      </w:r>
      <w:r>
        <w:rPr>
          <w:rFonts w:eastAsia="Century"/>
          <w:color w:val="000000"/>
          <w:sz w:val="21"/>
          <w:szCs w:val="21"/>
        </w:rPr>
        <w:t>月</w:t>
      </w:r>
      <w:r w:rsidR="00D43532">
        <w:rPr>
          <w:rFonts w:ascii="ＭＳ 明朝" w:eastAsia="ＭＳ 明朝" w:hAnsi="ＭＳ 明朝" w:cs="ＭＳ 明朝" w:hint="eastAsia"/>
          <w:color w:val="000000"/>
          <w:sz w:val="21"/>
          <w:szCs w:val="21"/>
        </w:rPr>
        <w:t>●</w:t>
      </w:r>
      <w:r>
        <w:rPr>
          <w:rFonts w:eastAsia="Century"/>
          <w:color w:val="000000"/>
          <w:sz w:val="21"/>
          <w:szCs w:val="21"/>
        </w:rPr>
        <w:t>日から</w:t>
      </w:r>
      <w:r w:rsidR="00D43532">
        <w:rPr>
          <w:rFonts w:ascii="ＭＳ 明朝" w:eastAsia="ＭＳ 明朝" w:hAnsi="ＭＳ 明朝" w:cs="ＭＳ 明朝" w:hint="eastAsia"/>
          <w:color w:val="000000"/>
          <w:sz w:val="21"/>
          <w:szCs w:val="21"/>
        </w:rPr>
        <w:t>●●</w:t>
      </w:r>
      <w:r w:rsidR="00D43532">
        <w:rPr>
          <w:rFonts w:eastAsia="Century"/>
          <w:color w:val="000000"/>
          <w:sz w:val="21"/>
          <w:szCs w:val="21"/>
        </w:rPr>
        <w:t>年</w:t>
      </w:r>
      <w:r w:rsidR="00D43532">
        <w:rPr>
          <w:rFonts w:ascii="ＭＳ 明朝" w:eastAsia="ＭＳ 明朝" w:hAnsi="ＭＳ 明朝" w:cs="ＭＳ 明朝" w:hint="eastAsia"/>
          <w:color w:val="000000"/>
          <w:sz w:val="21"/>
          <w:szCs w:val="21"/>
        </w:rPr>
        <w:t>●</w:t>
      </w:r>
      <w:r w:rsidR="00D43532">
        <w:rPr>
          <w:rFonts w:eastAsia="Century"/>
          <w:color w:val="000000"/>
          <w:sz w:val="21"/>
          <w:szCs w:val="21"/>
        </w:rPr>
        <w:t>月</w:t>
      </w:r>
      <w:r w:rsidR="00D43532">
        <w:rPr>
          <w:rFonts w:ascii="ＭＳ 明朝" w:eastAsia="ＭＳ 明朝" w:hAnsi="ＭＳ 明朝" w:cs="ＭＳ 明朝" w:hint="eastAsia"/>
          <w:color w:val="000000"/>
          <w:sz w:val="21"/>
          <w:szCs w:val="21"/>
        </w:rPr>
        <w:t>●</w:t>
      </w:r>
      <w:r w:rsidR="00D43532">
        <w:rPr>
          <w:rFonts w:eastAsia="Century"/>
          <w:color w:val="000000"/>
          <w:sz w:val="21"/>
          <w:szCs w:val="21"/>
        </w:rPr>
        <w:t>日</w:t>
      </w:r>
      <w:r>
        <w:rPr>
          <w:rFonts w:eastAsia="Century"/>
          <w:color w:val="000000"/>
          <w:sz w:val="21"/>
          <w:szCs w:val="21"/>
        </w:rPr>
        <w:t>までとする。</w:t>
      </w:r>
    </w:p>
    <w:p w14:paraId="761F4648"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p>
    <w:p w14:paraId="28D821E2" w14:textId="7463E893"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第４条（秘密保持）</w:t>
      </w:r>
    </w:p>
    <w:p w14:paraId="069899F8" w14:textId="635DC5E6" w:rsidR="001608DC" w:rsidRDefault="001608DC" w:rsidP="001608DC">
      <w:pPr>
        <w:widowControl w:val="0"/>
        <w:pBdr>
          <w:top w:val="nil"/>
          <w:left w:val="nil"/>
          <w:bottom w:val="nil"/>
          <w:right w:val="nil"/>
          <w:between w:val="nil"/>
        </w:pBdr>
        <w:ind w:left="453"/>
        <w:rPr>
          <w:color w:val="000000"/>
          <w:sz w:val="21"/>
          <w:szCs w:val="21"/>
        </w:rPr>
      </w:pPr>
      <w:r>
        <w:rPr>
          <w:rFonts w:ascii="ＭＳ 明朝" w:eastAsia="ＭＳ 明朝" w:hAnsi="ＭＳ 明朝" w:cs="ＭＳ 明朝" w:hint="eastAsia"/>
          <w:color w:val="000000"/>
          <w:sz w:val="21"/>
          <w:szCs w:val="21"/>
        </w:rPr>
        <w:t>甲及び乙は、本覚書の締結又は履行に関して直接或いは間接に知り得た相手方の業務上、技術上その他の情報（ただし、次条に定める個人情報を除く。以下「秘密情報」という。）を、善良な管理者の注意をもって秘密に保持するものとし、相手方の書面による事前の承諾を得ずに第三者に開示してはならない。又、甲及び乙は、秘密情報の管理に必要な措置を講ずるものとし、相手方の書面による承諾を得ない限り、本契約の履行のために必要最小限の範囲を超えて秘密情報を複製してはならない。ただし、次の各号のいずれかに該当する情報については、この限りではない。</w:t>
      </w:r>
    </w:p>
    <w:p w14:paraId="275781C8" w14:textId="77777777" w:rsidR="001608DC" w:rsidRDefault="001608DC" w:rsidP="001608DC">
      <w:pPr>
        <w:widowControl w:val="0"/>
        <w:numPr>
          <w:ilvl w:val="0"/>
          <w:numId w:val="4"/>
        </w:numPr>
        <w:pBdr>
          <w:top w:val="nil"/>
          <w:left w:val="nil"/>
          <w:bottom w:val="nil"/>
          <w:right w:val="nil"/>
          <w:between w:val="nil"/>
        </w:pBdr>
        <w:ind w:left="851"/>
        <w:jc w:val="both"/>
        <w:rPr>
          <w:color w:val="000000"/>
          <w:sz w:val="21"/>
          <w:szCs w:val="21"/>
        </w:rPr>
      </w:pPr>
      <w:r>
        <w:rPr>
          <w:rFonts w:ascii="ＭＳ 明朝" w:eastAsia="ＭＳ 明朝" w:hAnsi="ＭＳ 明朝" w:cs="ＭＳ 明朝" w:hint="eastAsia"/>
          <w:color w:val="000000"/>
          <w:sz w:val="21"/>
          <w:szCs w:val="21"/>
        </w:rPr>
        <w:t>知得したとき、既に正当に保有していた情報</w:t>
      </w:r>
    </w:p>
    <w:p w14:paraId="631AA275" w14:textId="77777777" w:rsidR="001608DC" w:rsidRDefault="001608DC" w:rsidP="001608DC">
      <w:pPr>
        <w:widowControl w:val="0"/>
        <w:numPr>
          <w:ilvl w:val="0"/>
          <w:numId w:val="4"/>
        </w:numPr>
        <w:pBdr>
          <w:top w:val="nil"/>
          <w:left w:val="nil"/>
          <w:bottom w:val="nil"/>
          <w:right w:val="nil"/>
          <w:between w:val="nil"/>
        </w:pBdr>
        <w:ind w:left="851"/>
        <w:jc w:val="both"/>
        <w:rPr>
          <w:color w:val="000000"/>
          <w:sz w:val="21"/>
          <w:szCs w:val="21"/>
        </w:rPr>
      </w:pPr>
      <w:r>
        <w:rPr>
          <w:rFonts w:ascii="ＭＳ 明朝" w:eastAsia="ＭＳ 明朝" w:hAnsi="ＭＳ 明朝" w:cs="ＭＳ 明朝" w:hint="eastAsia"/>
          <w:color w:val="000000"/>
          <w:sz w:val="21"/>
          <w:szCs w:val="21"/>
        </w:rPr>
        <w:t>正当な権限を有する第三者から秘密保持義務を伴わず入手した情報</w:t>
      </w:r>
    </w:p>
    <w:p w14:paraId="0FD74351" w14:textId="77777777" w:rsidR="001608DC" w:rsidRDefault="001608DC" w:rsidP="001608DC">
      <w:pPr>
        <w:widowControl w:val="0"/>
        <w:numPr>
          <w:ilvl w:val="0"/>
          <w:numId w:val="4"/>
        </w:numPr>
        <w:pBdr>
          <w:top w:val="nil"/>
          <w:left w:val="nil"/>
          <w:bottom w:val="nil"/>
          <w:right w:val="nil"/>
          <w:between w:val="nil"/>
        </w:pBdr>
        <w:ind w:left="851"/>
        <w:jc w:val="both"/>
        <w:rPr>
          <w:color w:val="000000"/>
          <w:sz w:val="21"/>
          <w:szCs w:val="21"/>
        </w:rPr>
      </w:pPr>
      <w:r>
        <w:rPr>
          <w:rFonts w:ascii="ＭＳ 明朝" w:eastAsia="ＭＳ 明朝" w:hAnsi="ＭＳ 明朝" w:cs="ＭＳ 明朝" w:hint="eastAsia"/>
          <w:color w:val="000000"/>
          <w:sz w:val="21"/>
          <w:szCs w:val="21"/>
        </w:rPr>
        <w:t>秘密情報を利用することなく独自に開発した情報</w:t>
      </w:r>
    </w:p>
    <w:p w14:paraId="503E219D" w14:textId="77777777" w:rsidR="001608DC" w:rsidRDefault="001608DC" w:rsidP="001608DC">
      <w:pPr>
        <w:widowControl w:val="0"/>
        <w:numPr>
          <w:ilvl w:val="0"/>
          <w:numId w:val="4"/>
        </w:numPr>
        <w:pBdr>
          <w:top w:val="nil"/>
          <w:left w:val="nil"/>
          <w:bottom w:val="nil"/>
          <w:right w:val="nil"/>
          <w:between w:val="nil"/>
        </w:pBdr>
        <w:ind w:left="851"/>
        <w:jc w:val="both"/>
        <w:rPr>
          <w:color w:val="000000"/>
          <w:sz w:val="21"/>
          <w:szCs w:val="21"/>
        </w:rPr>
      </w:pPr>
      <w:r>
        <w:rPr>
          <w:rFonts w:ascii="ＭＳ 明朝" w:eastAsia="ＭＳ 明朝" w:hAnsi="ＭＳ 明朝" w:cs="ＭＳ 明朝" w:hint="eastAsia"/>
          <w:color w:val="000000"/>
          <w:sz w:val="21"/>
          <w:szCs w:val="21"/>
        </w:rPr>
        <w:t>知得の前後を問わず、本契約に違反することなく公知となった情報</w:t>
      </w:r>
    </w:p>
    <w:p w14:paraId="7A9C5DCC"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２　前項の規定にかかわらず、甲及び乙は、法令に基づき権限ある官公署から開示の要求があった場合には、当該要求の範囲内で、秘密情報を開示することができる。</w:t>
      </w:r>
    </w:p>
    <w:p w14:paraId="5BC74C2D"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３　甲及び乙は、秘密情報を本契約の目的に必要な範囲内でのみ使用するものとし、その他の目的に使用してはならない。</w:t>
      </w:r>
    </w:p>
    <w:p w14:paraId="07C237F0"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４　本契約が終了したとき、又は相手方の請求があったときは、甲又は乙は、相手方の指示に従い、直ちに秘密情報が記録された媒体を相手方に返還し、又は廃棄するものとする。</w:t>
      </w:r>
    </w:p>
    <w:p w14:paraId="40E8A0A5"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５　本条の規定は、本契約の終了後も３年間、甲乙間において効力を有するものとする。</w:t>
      </w:r>
    </w:p>
    <w:p w14:paraId="3767A518"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６　甲乙間で、別途秘密保持契約が締結されている場合は、当該秘密保持契約を本条の定めに優先して適用する。</w:t>
      </w:r>
    </w:p>
    <w:p w14:paraId="1E356AAE"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p>
    <w:p w14:paraId="024A4A57" w14:textId="35987874" w:rsidR="001608DC" w:rsidRPr="001608DC" w:rsidRDefault="001608DC" w:rsidP="001608DC">
      <w:pPr>
        <w:widowControl w:val="0"/>
        <w:pBdr>
          <w:top w:val="nil"/>
          <w:left w:val="nil"/>
          <w:bottom w:val="nil"/>
          <w:right w:val="nil"/>
          <w:between w:val="nil"/>
        </w:pBdr>
        <w:ind w:left="433" w:hanging="433"/>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第５条（個人情報の取扱い）</w:t>
      </w:r>
    </w:p>
    <w:p w14:paraId="771296C3" w14:textId="1AF9C700" w:rsidR="001608DC" w:rsidRDefault="001608DC" w:rsidP="001608DC">
      <w:pPr>
        <w:widowControl w:val="0"/>
        <w:pBdr>
          <w:top w:val="nil"/>
          <w:left w:val="nil"/>
          <w:bottom w:val="nil"/>
          <w:right w:val="nil"/>
          <w:between w:val="nil"/>
        </w:pBdr>
        <w:ind w:left="453"/>
        <w:jc w:val="both"/>
        <w:rPr>
          <w:color w:val="000000"/>
          <w:sz w:val="21"/>
          <w:szCs w:val="21"/>
        </w:rPr>
      </w:pPr>
      <w:r>
        <w:rPr>
          <w:rFonts w:ascii="ＭＳ 明朝" w:eastAsia="ＭＳ 明朝" w:hAnsi="ＭＳ 明朝" w:cs="ＭＳ 明朝" w:hint="eastAsia"/>
          <w:color w:val="000000"/>
          <w:sz w:val="21"/>
          <w:szCs w:val="21"/>
        </w:rPr>
        <w:t>甲及び乙は、本覚書の締結又は履行に関して直接或いは間接に知り得た相手方の個人に関する情報（顧客、使用人に関する情報を含むが、これらに限られない。以下「個人情報」とい</w:t>
      </w:r>
      <w:r>
        <w:rPr>
          <w:rFonts w:ascii="ＭＳ 明朝" w:eastAsia="ＭＳ 明朝" w:hAnsi="ＭＳ 明朝" w:cs="ＭＳ 明朝" w:hint="eastAsia"/>
          <w:color w:val="000000"/>
          <w:sz w:val="21"/>
          <w:szCs w:val="21"/>
        </w:rPr>
        <w:lastRenderedPageBreak/>
        <w:t>う。）を、善良な管理者の注意をもって、又、法令等に従って秘密に保持するものとし、相手方の書面による事前の承諾を得ずに第三者に開示してはならない。</w:t>
      </w:r>
    </w:p>
    <w:p w14:paraId="1F2EA8A9"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２　前項の規定にかかわらず、甲及び乙は、法令に基づき権限ある官公署から開示の要求があった場合には、当該要求の範囲内で、個人情報を開示することができる。</w:t>
      </w:r>
    </w:p>
    <w:p w14:paraId="5C092280"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３　甲及び乙は、個人情報を本契約の目的に必要な範囲内でのみ使用するものとし、その他の目的に使用してはならない。又、甲及び乙は、個人情報の管理に必要な措置を講ずるものとし、相手方の書面による事前の承諾を得ない限り、本契約の履行のために必要最小限の範囲を超えて個人情報を複製してはならない。</w:t>
      </w:r>
    </w:p>
    <w:p w14:paraId="657D70CC"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４　本契約が終了したとき、又は相手方の請求があったときは、甲又は乙は、相手方の指示に従い、直ちに個人情報が記録された媒体を相手方に返還し、又は廃棄するものとする。ただし、税法上その他の理由により直ちに返還、廃棄できない記録等については、必要な期間の経過後、適切な措置を講じたうえで廃棄するものとする。</w:t>
      </w:r>
    </w:p>
    <w:p w14:paraId="185D3C52"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５　本条の規定は、本契約の終了後も甲乙間において効力を有するものとする。</w:t>
      </w:r>
    </w:p>
    <w:p w14:paraId="4BDFD314" w14:textId="77777777" w:rsidR="001608DC" w:rsidRDefault="001608DC" w:rsidP="001608DC">
      <w:pPr>
        <w:widowControl w:val="0"/>
        <w:pBdr>
          <w:top w:val="nil"/>
          <w:left w:val="nil"/>
          <w:bottom w:val="nil"/>
          <w:right w:val="nil"/>
          <w:between w:val="nil"/>
        </w:pBdr>
        <w:ind w:left="433" w:hanging="433"/>
        <w:jc w:val="both"/>
        <w:rPr>
          <w:color w:val="000000"/>
          <w:sz w:val="21"/>
          <w:szCs w:val="21"/>
        </w:rPr>
      </w:pPr>
      <w:r>
        <w:rPr>
          <w:rFonts w:ascii="ＭＳ 明朝" w:eastAsia="ＭＳ 明朝" w:hAnsi="ＭＳ 明朝" w:cs="ＭＳ 明朝" w:hint="eastAsia"/>
          <w:color w:val="000000"/>
          <w:sz w:val="21"/>
          <w:szCs w:val="21"/>
        </w:rPr>
        <w:t>６　甲乙間で、別途個人情報保護契約が締結されている場合は、当該個人情報保護契約を本条の定めに優先して適用する。</w:t>
      </w:r>
    </w:p>
    <w:p w14:paraId="76FD7FDD" w14:textId="77777777" w:rsidR="001608DC" w:rsidRDefault="001608DC" w:rsidP="001608DC">
      <w:pPr>
        <w:widowControl w:val="0"/>
        <w:pBdr>
          <w:top w:val="nil"/>
          <w:left w:val="nil"/>
          <w:bottom w:val="nil"/>
          <w:right w:val="nil"/>
          <w:between w:val="nil"/>
        </w:pBdr>
        <w:jc w:val="both"/>
        <w:rPr>
          <w:color w:val="000000"/>
          <w:sz w:val="21"/>
          <w:szCs w:val="21"/>
        </w:rPr>
      </w:pPr>
    </w:p>
    <w:p w14:paraId="0000005D" w14:textId="1B89D4C0" w:rsidR="00D93361" w:rsidRDefault="008837BF">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第</w:t>
      </w:r>
      <w:r w:rsidR="001608DC">
        <w:rPr>
          <w:rFonts w:ascii="ＭＳ 明朝" w:eastAsia="ＭＳ 明朝" w:hAnsi="ＭＳ 明朝" w:cs="ＭＳ 明朝" w:hint="eastAsia"/>
          <w:color w:val="000000"/>
          <w:sz w:val="21"/>
          <w:szCs w:val="21"/>
        </w:rPr>
        <w:t>６</w:t>
      </w:r>
      <w:r>
        <w:rPr>
          <w:rFonts w:eastAsia="Century"/>
          <w:color w:val="000000"/>
          <w:sz w:val="21"/>
          <w:szCs w:val="21"/>
        </w:rPr>
        <w:t>条（準拠法）</w:t>
      </w:r>
    </w:p>
    <w:p w14:paraId="0000005E" w14:textId="5D7D1A5C" w:rsidR="00D93361" w:rsidRDefault="008837BF">
      <w:pPr>
        <w:widowControl w:val="0"/>
        <w:pBdr>
          <w:top w:val="nil"/>
          <w:left w:val="nil"/>
          <w:bottom w:val="nil"/>
          <w:right w:val="nil"/>
          <w:between w:val="nil"/>
        </w:pBdr>
        <w:ind w:left="886" w:hanging="433"/>
        <w:jc w:val="both"/>
        <w:rPr>
          <w:color w:val="000000"/>
          <w:sz w:val="21"/>
          <w:szCs w:val="21"/>
        </w:rPr>
      </w:pPr>
      <w:r>
        <w:rPr>
          <w:rFonts w:eastAsia="Century"/>
          <w:color w:val="000000"/>
          <w:sz w:val="21"/>
          <w:szCs w:val="21"/>
        </w:rPr>
        <w:t>本</w:t>
      </w:r>
      <w:r w:rsidR="00D86968">
        <w:rPr>
          <w:rFonts w:ascii="ＭＳ 明朝" w:eastAsia="ＭＳ 明朝" w:hAnsi="ＭＳ 明朝" w:cs="ＭＳ 明朝" w:hint="eastAsia"/>
          <w:color w:val="000000"/>
          <w:sz w:val="21"/>
          <w:szCs w:val="21"/>
        </w:rPr>
        <w:t>覚書</w:t>
      </w:r>
      <w:r>
        <w:rPr>
          <w:rFonts w:eastAsia="Century"/>
          <w:color w:val="000000"/>
          <w:sz w:val="21"/>
          <w:szCs w:val="21"/>
        </w:rPr>
        <w:t>は、日本法に準拠し、日本法により解釈されるものとする。</w:t>
      </w:r>
    </w:p>
    <w:p w14:paraId="0000005F" w14:textId="77777777" w:rsidR="00D93361" w:rsidRDefault="00D93361">
      <w:pPr>
        <w:widowControl w:val="0"/>
        <w:pBdr>
          <w:top w:val="nil"/>
          <w:left w:val="nil"/>
          <w:bottom w:val="nil"/>
          <w:right w:val="nil"/>
          <w:between w:val="nil"/>
        </w:pBdr>
        <w:ind w:left="433" w:hanging="433"/>
        <w:jc w:val="both"/>
        <w:rPr>
          <w:color w:val="000000"/>
          <w:sz w:val="21"/>
          <w:szCs w:val="21"/>
        </w:rPr>
      </w:pPr>
    </w:p>
    <w:p w14:paraId="00000060" w14:textId="30F9E7A9" w:rsidR="00D93361" w:rsidRDefault="008837BF">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第</w:t>
      </w:r>
      <w:r w:rsidR="001608DC">
        <w:rPr>
          <w:rFonts w:ascii="ＭＳ 明朝" w:eastAsia="ＭＳ 明朝" w:hAnsi="ＭＳ 明朝" w:cs="ＭＳ 明朝" w:hint="eastAsia"/>
          <w:color w:val="000000"/>
          <w:sz w:val="21"/>
          <w:szCs w:val="21"/>
        </w:rPr>
        <w:t>７</w:t>
      </w:r>
      <w:r>
        <w:rPr>
          <w:rFonts w:eastAsia="Century"/>
          <w:color w:val="000000"/>
          <w:sz w:val="21"/>
          <w:szCs w:val="21"/>
        </w:rPr>
        <w:t>条（合意管轄）</w:t>
      </w:r>
    </w:p>
    <w:p w14:paraId="00000062" w14:textId="409400B0" w:rsidR="00D93361" w:rsidRPr="000B1025" w:rsidRDefault="000B1025" w:rsidP="000B1025">
      <w:pPr>
        <w:widowControl w:val="0"/>
        <w:pBdr>
          <w:top w:val="nil"/>
          <w:left w:val="nil"/>
          <w:bottom w:val="nil"/>
          <w:right w:val="nil"/>
          <w:between w:val="nil"/>
        </w:pBdr>
        <w:ind w:left="426" w:firstLine="27"/>
        <w:jc w:val="both"/>
        <w:rPr>
          <w:rFonts w:ascii="Times New Roman" w:eastAsia="PMingLiU" w:hAnsi="Times New Roman"/>
          <w:sz w:val="21"/>
          <w:szCs w:val="21"/>
          <w:lang w:eastAsia="zh-TW"/>
        </w:rPr>
      </w:pPr>
      <w:r w:rsidRPr="000B1025">
        <w:rPr>
          <w:rFonts w:ascii="Times New Roman" w:hAnsi="Times New Roman"/>
          <w:sz w:val="21"/>
          <w:szCs w:val="21"/>
          <w:lang w:eastAsia="zh-TW"/>
        </w:rPr>
        <w:t>本</w:t>
      </w:r>
      <w:r w:rsidR="00D86968">
        <w:rPr>
          <w:rFonts w:ascii="ＭＳ 明朝" w:eastAsia="ＭＳ 明朝" w:hAnsi="ＭＳ 明朝" w:cs="ＭＳ 明朝" w:hint="eastAsia"/>
          <w:color w:val="000000"/>
          <w:sz w:val="21"/>
          <w:szCs w:val="21"/>
        </w:rPr>
        <w:t>覚書</w:t>
      </w:r>
      <w:r w:rsidRPr="000B1025">
        <w:rPr>
          <w:rFonts w:ascii="Times New Roman" w:hAnsi="Times New Roman"/>
          <w:sz w:val="21"/>
          <w:szCs w:val="21"/>
          <w:lang w:eastAsia="zh-TW"/>
        </w:rPr>
        <w:t>に関して生じた紛争に対する管轄裁判所は、</w:t>
      </w:r>
      <w:r w:rsidRPr="000B1025">
        <w:rPr>
          <w:rFonts w:ascii="Times New Roman" w:hAnsi="Times New Roman" w:hint="eastAsia"/>
          <w:sz w:val="21"/>
          <w:szCs w:val="21"/>
        </w:rPr>
        <w:t>被告の所在地を管轄する地方裁判所と</w:t>
      </w:r>
      <w:r>
        <w:rPr>
          <w:rFonts w:ascii="Times New Roman" w:hAnsi="Times New Roman" w:hint="eastAsia"/>
          <w:sz w:val="21"/>
          <w:szCs w:val="21"/>
        </w:rPr>
        <w:t>する。</w:t>
      </w:r>
    </w:p>
    <w:p w14:paraId="3AE97371" w14:textId="77777777" w:rsidR="000B1025" w:rsidRPr="000B1025" w:rsidRDefault="000B1025" w:rsidP="000B1025">
      <w:pPr>
        <w:widowControl w:val="0"/>
        <w:pBdr>
          <w:top w:val="nil"/>
          <w:left w:val="nil"/>
          <w:bottom w:val="nil"/>
          <w:right w:val="nil"/>
          <w:between w:val="nil"/>
        </w:pBdr>
        <w:ind w:left="886" w:hanging="433"/>
        <w:jc w:val="both"/>
        <w:rPr>
          <w:rFonts w:eastAsia="PMingLiU"/>
          <w:color w:val="000000"/>
          <w:sz w:val="21"/>
          <w:szCs w:val="21"/>
        </w:rPr>
      </w:pPr>
    </w:p>
    <w:p w14:paraId="00000063" w14:textId="6F7D664D" w:rsidR="00D93361" w:rsidRDefault="008837BF">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第</w:t>
      </w:r>
      <w:r w:rsidR="001608DC">
        <w:rPr>
          <w:rFonts w:ascii="ＭＳ 明朝" w:eastAsia="ＭＳ 明朝" w:hAnsi="ＭＳ 明朝" w:cs="ＭＳ 明朝" w:hint="eastAsia"/>
          <w:color w:val="000000"/>
          <w:sz w:val="21"/>
          <w:szCs w:val="21"/>
        </w:rPr>
        <w:t>８</w:t>
      </w:r>
      <w:r>
        <w:rPr>
          <w:rFonts w:eastAsia="Century"/>
          <w:color w:val="000000"/>
          <w:sz w:val="21"/>
          <w:szCs w:val="21"/>
        </w:rPr>
        <w:t>条（規定外事項）</w:t>
      </w:r>
    </w:p>
    <w:p w14:paraId="00000064" w14:textId="2A8C9523" w:rsidR="00D93361" w:rsidRDefault="008837BF">
      <w:pPr>
        <w:widowControl w:val="0"/>
        <w:pBdr>
          <w:top w:val="nil"/>
          <w:left w:val="nil"/>
          <w:bottom w:val="nil"/>
          <w:right w:val="nil"/>
          <w:between w:val="nil"/>
        </w:pBdr>
        <w:ind w:left="453"/>
        <w:jc w:val="both"/>
        <w:rPr>
          <w:color w:val="000000"/>
          <w:sz w:val="21"/>
          <w:szCs w:val="21"/>
        </w:rPr>
      </w:pPr>
      <w:r>
        <w:rPr>
          <w:rFonts w:eastAsia="Century"/>
          <w:color w:val="000000"/>
          <w:sz w:val="21"/>
          <w:szCs w:val="21"/>
        </w:rPr>
        <w:t>本</w:t>
      </w:r>
      <w:r w:rsidR="00D86968">
        <w:rPr>
          <w:rFonts w:ascii="ＭＳ 明朝" w:eastAsia="ＭＳ 明朝" w:hAnsi="ＭＳ 明朝" w:cs="ＭＳ 明朝" w:hint="eastAsia"/>
          <w:color w:val="000000"/>
          <w:sz w:val="21"/>
          <w:szCs w:val="21"/>
        </w:rPr>
        <w:t>覚書</w:t>
      </w:r>
      <w:r>
        <w:rPr>
          <w:rFonts w:eastAsia="Century"/>
          <w:color w:val="000000"/>
          <w:sz w:val="21"/>
          <w:szCs w:val="21"/>
        </w:rPr>
        <w:t>に定めのない事項又は本</w:t>
      </w:r>
      <w:r w:rsidR="00E10CE6">
        <w:rPr>
          <w:rFonts w:ascii="ＭＳ 明朝" w:eastAsia="ＭＳ 明朝" w:hAnsi="ＭＳ 明朝" w:cs="ＭＳ 明朝" w:hint="eastAsia"/>
          <w:color w:val="000000"/>
          <w:sz w:val="21"/>
          <w:szCs w:val="21"/>
        </w:rPr>
        <w:t>覚書</w:t>
      </w:r>
      <w:r>
        <w:rPr>
          <w:rFonts w:eastAsia="Century"/>
          <w:color w:val="000000"/>
          <w:sz w:val="21"/>
          <w:szCs w:val="21"/>
        </w:rPr>
        <w:t>の各条項の解釈に疑義を生じた場合は、第２条第</w:t>
      </w:r>
      <w:r w:rsidR="00932E4E">
        <w:rPr>
          <w:rFonts w:ascii="ＭＳ 明朝" w:eastAsia="ＭＳ 明朝" w:hAnsi="ＭＳ 明朝" w:cs="ＭＳ 明朝" w:hint="eastAsia"/>
          <w:color w:val="000000"/>
          <w:sz w:val="21"/>
          <w:szCs w:val="21"/>
        </w:rPr>
        <w:t>３</w:t>
      </w:r>
      <w:r>
        <w:rPr>
          <w:rFonts w:eastAsia="Century"/>
          <w:color w:val="000000"/>
          <w:sz w:val="21"/>
          <w:szCs w:val="21"/>
        </w:rPr>
        <w:t>項に規定する約款の規定に従うものとし、約款に定めのない事項については、甲乙間で誠意をもって協議のうえ解決を図るものとする。</w:t>
      </w:r>
    </w:p>
    <w:p w14:paraId="00000065" w14:textId="77777777" w:rsidR="00D93361" w:rsidRDefault="00D93361">
      <w:pPr>
        <w:widowControl w:val="0"/>
        <w:pBdr>
          <w:top w:val="nil"/>
          <w:left w:val="nil"/>
          <w:bottom w:val="nil"/>
          <w:right w:val="nil"/>
          <w:between w:val="nil"/>
        </w:pBdr>
        <w:ind w:left="433" w:hanging="433"/>
        <w:jc w:val="both"/>
        <w:rPr>
          <w:color w:val="000000"/>
          <w:sz w:val="21"/>
          <w:szCs w:val="21"/>
        </w:rPr>
      </w:pPr>
    </w:p>
    <w:p w14:paraId="00000066" w14:textId="13686996" w:rsidR="00D93361" w:rsidRDefault="008837BF">
      <w:pPr>
        <w:widowControl w:val="0"/>
        <w:pBdr>
          <w:top w:val="nil"/>
          <w:left w:val="nil"/>
          <w:bottom w:val="nil"/>
          <w:right w:val="nil"/>
          <w:between w:val="nil"/>
        </w:pBdr>
        <w:ind w:left="433" w:hanging="433"/>
        <w:jc w:val="both"/>
        <w:rPr>
          <w:color w:val="000000"/>
          <w:sz w:val="21"/>
          <w:szCs w:val="21"/>
        </w:rPr>
      </w:pPr>
      <w:r>
        <w:rPr>
          <w:rFonts w:eastAsia="Century"/>
          <w:color w:val="000000"/>
          <w:sz w:val="21"/>
          <w:szCs w:val="21"/>
        </w:rPr>
        <w:t>以上、本</w:t>
      </w:r>
      <w:r w:rsidR="00D86968">
        <w:rPr>
          <w:rFonts w:ascii="ＭＳ 明朝" w:eastAsia="ＭＳ 明朝" w:hAnsi="ＭＳ 明朝" w:cs="ＭＳ 明朝" w:hint="eastAsia"/>
          <w:color w:val="000000"/>
          <w:sz w:val="21"/>
          <w:szCs w:val="21"/>
        </w:rPr>
        <w:t>覚書</w:t>
      </w:r>
      <w:r>
        <w:rPr>
          <w:rFonts w:eastAsia="Century"/>
          <w:color w:val="000000"/>
          <w:sz w:val="21"/>
          <w:szCs w:val="21"/>
        </w:rPr>
        <w:t>成立の証として本書２通を作成し、甲乙記名押印のうえ、各自1通を保有する。</w:t>
      </w:r>
    </w:p>
    <w:p w14:paraId="00000068" w14:textId="77777777" w:rsidR="00D93361" w:rsidRDefault="00D93361" w:rsidP="00932E4E">
      <w:pPr>
        <w:widowControl w:val="0"/>
        <w:pBdr>
          <w:top w:val="nil"/>
          <w:left w:val="nil"/>
          <w:bottom w:val="nil"/>
          <w:right w:val="nil"/>
          <w:between w:val="nil"/>
        </w:pBdr>
        <w:jc w:val="both"/>
        <w:rPr>
          <w:color w:val="000000"/>
          <w:sz w:val="21"/>
          <w:szCs w:val="21"/>
        </w:rPr>
      </w:pPr>
    </w:p>
    <w:p w14:paraId="00000069" w14:textId="77777777" w:rsidR="00D93361" w:rsidRDefault="008837BF">
      <w:pPr>
        <w:widowControl w:val="0"/>
        <w:pBdr>
          <w:top w:val="nil"/>
          <w:left w:val="nil"/>
          <w:bottom w:val="nil"/>
          <w:right w:val="nil"/>
          <w:between w:val="nil"/>
        </w:pBdr>
        <w:ind w:firstLine="433"/>
        <w:jc w:val="both"/>
        <w:rPr>
          <w:color w:val="000000"/>
          <w:sz w:val="21"/>
          <w:szCs w:val="21"/>
          <w:lang w:eastAsia="zh-CN"/>
        </w:rPr>
      </w:pPr>
      <w:r>
        <w:rPr>
          <w:rFonts w:eastAsia="Century"/>
          <w:color w:val="000000"/>
          <w:sz w:val="21"/>
          <w:szCs w:val="21"/>
          <w:lang w:eastAsia="zh-CN"/>
        </w:rPr>
        <w:t>２０</w:t>
      </w:r>
      <w:r>
        <w:rPr>
          <w:rFonts w:eastAsia="Century"/>
          <w:color w:val="000000"/>
          <w:sz w:val="22"/>
          <w:szCs w:val="22"/>
          <w:lang w:eastAsia="zh-CN"/>
        </w:rPr>
        <w:t>２３</w:t>
      </w:r>
      <w:r>
        <w:rPr>
          <w:rFonts w:eastAsia="Century"/>
          <w:color w:val="000000"/>
          <w:sz w:val="21"/>
          <w:szCs w:val="21"/>
          <w:lang w:eastAsia="zh-CN"/>
        </w:rPr>
        <w:t>年　　月　　日</w:t>
      </w:r>
    </w:p>
    <w:p w14:paraId="0000006B" w14:textId="77777777" w:rsidR="00D93361" w:rsidRDefault="00D93361" w:rsidP="00932E4E">
      <w:pPr>
        <w:widowControl w:val="0"/>
        <w:pBdr>
          <w:top w:val="nil"/>
          <w:left w:val="nil"/>
          <w:bottom w:val="nil"/>
          <w:right w:val="nil"/>
          <w:between w:val="nil"/>
        </w:pBdr>
        <w:jc w:val="both"/>
        <w:rPr>
          <w:color w:val="000000"/>
          <w:sz w:val="21"/>
          <w:szCs w:val="21"/>
          <w:lang w:eastAsia="zh-CN"/>
        </w:rPr>
      </w:pPr>
    </w:p>
    <w:p w14:paraId="0000006C" w14:textId="77777777" w:rsidR="00D93361" w:rsidRDefault="008837BF">
      <w:pPr>
        <w:widowControl w:val="0"/>
        <w:pBdr>
          <w:top w:val="nil"/>
          <w:left w:val="nil"/>
          <w:bottom w:val="nil"/>
          <w:right w:val="nil"/>
          <w:between w:val="nil"/>
        </w:pBdr>
        <w:tabs>
          <w:tab w:val="left" w:pos="4536"/>
        </w:tabs>
        <w:ind w:left="4107" w:hanging="1"/>
        <w:jc w:val="both"/>
        <w:rPr>
          <w:color w:val="000000"/>
          <w:sz w:val="21"/>
          <w:szCs w:val="21"/>
          <w:lang w:eastAsia="zh-CN"/>
        </w:rPr>
      </w:pPr>
      <w:r>
        <w:rPr>
          <w:rFonts w:eastAsia="Century"/>
          <w:color w:val="000000"/>
          <w:sz w:val="21"/>
          <w:szCs w:val="21"/>
          <w:lang w:eastAsia="zh-CN"/>
        </w:rPr>
        <w:t>甲</w:t>
      </w:r>
      <w:r>
        <w:rPr>
          <w:rFonts w:eastAsia="Century"/>
          <w:color w:val="000000"/>
          <w:sz w:val="21"/>
          <w:szCs w:val="21"/>
          <w:lang w:eastAsia="zh-CN"/>
        </w:rPr>
        <w:tab/>
        <w:t>〒999-9999 東京都甲信区9-9-9</w:t>
      </w:r>
    </w:p>
    <w:p w14:paraId="0000006D" w14:textId="7CB06239" w:rsidR="00D93361" w:rsidRDefault="008837BF">
      <w:pPr>
        <w:widowControl w:val="0"/>
        <w:pBdr>
          <w:top w:val="nil"/>
          <w:left w:val="nil"/>
          <w:bottom w:val="nil"/>
          <w:right w:val="nil"/>
          <w:between w:val="nil"/>
        </w:pBdr>
        <w:tabs>
          <w:tab w:val="left" w:pos="4536"/>
        </w:tabs>
        <w:ind w:left="4107" w:hanging="1"/>
        <w:jc w:val="both"/>
        <w:rPr>
          <w:color w:val="000000"/>
          <w:sz w:val="21"/>
          <w:szCs w:val="21"/>
          <w:lang w:eastAsia="zh-CN"/>
        </w:rPr>
      </w:pPr>
      <w:r>
        <w:rPr>
          <w:rFonts w:eastAsia="Century"/>
          <w:color w:val="000000"/>
          <w:sz w:val="21"/>
          <w:szCs w:val="21"/>
          <w:lang w:eastAsia="zh-CN"/>
        </w:rPr>
        <w:tab/>
      </w:r>
      <w:r>
        <w:rPr>
          <w:rFonts w:eastAsia="Century"/>
          <w:color w:val="000000"/>
          <w:sz w:val="21"/>
          <w:szCs w:val="21"/>
          <w:lang w:eastAsia="zh-CN"/>
        </w:rPr>
        <w:tab/>
      </w:r>
      <w:r w:rsidR="00731975">
        <w:rPr>
          <w:rFonts w:asciiTheme="minorEastAsia" w:hAnsiTheme="minorEastAsia" w:hint="eastAsia"/>
          <w:color w:val="000000"/>
          <w:sz w:val="21"/>
          <w:szCs w:val="21"/>
        </w:rPr>
        <w:t>●●●</w:t>
      </w:r>
      <w:r>
        <w:rPr>
          <w:rFonts w:eastAsia="Century"/>
          <w:color w:val="000000"/>
          <w:sz w:val="21"/>
          <w:szCs w:val="21"/>
          <w:lang w:eastAsia="zh-CN"/>
        </w:rPr>
        <w:t>大学病院</w:t>
      </w:r>
    </w:p>
    <w:p w14:paraId="0000006E" w14:textId="2C3F19F2" w:rsidR="00D93361" w:rsidRDefault="008837BF">
      <w:pPr>
        <w:widowControl w:val="0"/>
        <w:pBdr>
          <w:top w:val="nil"/>
          <w:left w:val="nil"/>
          <w:bottom w:val="nil"/>
          <w:right w:val="nil"/>
          <w:between w:val="nil"/>
        </w:pBdr>
        <w:tabs>
          <w:tab w:val="left" w:pos="4536"/>
        </w:tabs>
        <w:ind w:left="4107" w:hanging="1"/>
        <w:jc w:val="both"/>
        <w:rPr>
          <w:color w:val="000000"/>
          <w:sz w:val="21"/>
          <w:szCs w:val="21"/>
          <w:lang w:eastAsia="zh-CN"/>
        </w:rPr>
      </w:pPr>
      <w:r>
        <w:rPr>
          <w:rFonts w:eastAsia="Century"/>
          <w:color w:val="000000"/>
          <w:sz w:val="21"/>
          <w:szCs w:val="21"/>
          <w:lang w:eastAsia="zh-CN"/>
        </w:rPr>
        <w:tab/>
      </w:r>
      <w:r>
        <w:rPr>
          <w:rFonts w:eastAsia="Century"/>
          <w:color w:val="000000"/>
          <w:sz w:val="21"/>
          <w:szCs w:val="21"/>
          <w:lang w:eastAsia="zh-CN"/>
        </w:rPr>
        <w:tab/>
      </w:r>
    </w:p>
    <w:p w14:paraId="3DBF8546" w14:textId="77777777" w:rsidR="00E10CE6" w:rsidRPr="00E10CE6" w:rsidRDefault="00E10CE6">
      <w:pPr>
        <w:widowControl w:val="0"/>
        <w:pBdr>
          <w:top w:val="nil"/>
          <w:left w:val="nil"/>
          <w:bottom w:val="nil"/>
          <w:right w:val="nil"/>
          <w:between w:val="nil"/>
        </w:pBdr>
        <w:tabs>
          <w:tab w:val="left" w:pos="4536"/>
        </w:tabs>
        <w:ind w:left="4107" w:hanging="1"/>
        <w:jc w:val="both"/>
        <w:rPr>
          <w:color w:val="000000"/>
          <w:sz w:val="21"/>
          <w:szCs w:val="21"/>
          <w:lang w:eastAsia="zh-CN"/>
        </w:rPr>
      </w:pPr>
    </w:p>
    <w:p w14:paraId="0000006F" w14:textId="77777777" w:rsidR="00D93361" w:rsidRDefault="008837BF">
      <w:pPr>
        <w:widowControl w:val="0"/>
        <w:pBdr>
          <w:top w:val="nil"/>
          <w:left w:val="nil"/>
          <w:bottom w:val="nil"/>
          <w:right w:val="nil"/>
          <w:between w:val="nil"/>
        </w:pBdr>
        <w:tabs>
          <w:tab w:val="left" w:pos="4536"/>
        </w:tabs>
        <w:ind w:left="4107" w:hanging="1"/>
        <w:jc w:val="both"/>
        <w:rPr>
          <w:color w:val="000000"/>
          <w:sz w:val="21"/>
          <w:szCs w:val="21"/>
          <w:lang w:eastAsia="zh-CN"/>
        </w:rPr>
      </w:pPr>
      <w:r>
        <w:rPr>
          <w:rFonts w:eastAsia="Century"/>
          <w:color w:val="000000"/>
          <w:sz w:val="21"/>
          <w:szCs w:val="21"/>
          <w:lang w:eastAsia="zh-CN"/>
        </w:rPr>
        <w:tab/>
      </w:r>
      <w:r>
        <w:rPr>
          <w:rFonts w:eastAsia="Century"/>
          <w:color w:val="000000"/>
          <w:sz w:val="21"/>
          <w:szCs w:val="21"/>
          <w:lang w:eastAsia="zh-CN"/>
        </w:rPr>
        <w:tab/>
      </w:r>
    </w:p>
    <w:p w14:paraId="00000070" w14:textId="77777777" w:rsidR="00D93361" w:rsidRDefault="008837BF">
      <w:pPr>
        <w:widowControl w:val="0"/>
        <w:pBdr>
          <w:top w:val="nil"/>
          <w:left w:val="nil"/>
          <w:bottom w:val="nil"/>
          <w:right w:val="nil"/>
          <w:between w:val="nil"/>
        </w:pBdr>
        <w:tabs>
          <w:tab w:val="left" w:pos="4536"/>
        </w:tabs>
        <w:ind w:left="4107" w:hanging="1"/>
        <w:jc w:val="both"/>
        <w:rPr>
          <w:color w:val="000000"/>
          <w:sz w:val="21"/>
          <w:szCs w:val="21"/>
          <w:lang w:eastAsia="zh-CN"/>
        </w:rPr>
      </w:pPr>
      <w:r>
        <w:rPr>
          <w:rFonts w:eastAsia="Century"/>
          <w:color w:val="000000"/>
          <w:sz w:val="21"/>
          <w:szCs w:val="21"/>
          <w:lang w:eastAsia="zh-CN"/>
        </w:rPr>
        <w:t>乙</w:t>
      </w:r>
      <w:r>
        <w:rPr>
          <w:rFonts w:eastAsia="Century"/>
          <w:color w:val="000000"/>
          <w:sz w:val="21"/>
          <w:szCs w:val="21"/>
          <w:lang w:eastAsia="zh-CN"/>
        </w:rPr>
        <w:tab/>
        <w:t>運輸会社住所</w:t>
      </w:r>
    </w:p>
    <w:p w14:paraId="00000072" w14:textId="65DA9CC7" w:rsidR="00D93361" w:rsidRPr="00D86968" w:rsidRDefault="008837BF" w:rsidP="00D86968">
      <w:pPr>
        <w:widowControl w:val="0"/>
        <w:pBdr>
          <w:top w:val="nil"/>
          <w:left w:val="nil"/>
          <w:bottom w:val="nil"/>
          <w:right w:val="nil"/>
          <w:between w:val="nil"/>
        </w:pBdr>
        <w:tabs>
          <w:tab w:val="left" w:pos="4536"/>
        </w:tabs>
        <w:ind w:left="4107" w:hanging="1"/>
        <w:jc w:val="both"/>
        <w:rPr>
          <w:color w:val="000000"/>
          <w:sz w:val="21"/>
          <w:szCs w:val="21"/>
        </w:rPr>
      </w:pPr>
      <w:r>
        <w:rPr>
          <w:rFonts w:eastAsia="Century"/>
          <w:color w:val="000000"/>
          <w:sz w:val="21"/>
          <w:szCs w:val="21"/>
          <w:lang w:eastAsia="zh-CN"/>
        </w:rPr>
        <w:tab/>
      </w:r>
      <w:r>
        <w:rPr>
          <w:rFonts w:eastAsia="Century"/>
          <w:color w:val="000000"/>
          <w:sz w:val="21"/>
          <w:szCs w:val="21"/>
          <w:lang w:eastAsia="zh-CN"/>
        </w:rPr>
        <w:tab/>
      </w:r>
      <w:r w:rsidR="00731975">
        <w:rPr>
          <w:rFonts w:ascii="ＭＳ 明朝" w:eastAsia="ＭＳ 明朝" w:hAnsi="ＭＳ 明朝" w:cs="ＭＳ 明朝" w:hint="eastAsia"/>
          <w:color w:val="000000"/>
          <w:sz w:val="21"/>
          <w:szCs w:val="21"/>
        </w:rPr>
        <w:t>▲▲▲</w:t>
      </w:r>
      <w:r>
        <w:rPr>
          <w:rFonts w:eastAsia="Century"/>
          <w:color w:val="000000"/>
          <w:sz w:val="21"/>
          <w:szCs w:val="21"/>
        </w:rPr>
        <w:t>株式会社</w:t>
      </w:r>
    </w:p>
    <w:sectPr w:rsidR="00D93361" w:rsidRPr="00D86968" w:rsidSect="00E60B1F">
      <w:pgSz w:w="11906" w:h="16838"/>
      <w:pgMar w:top="1701"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4365" w14:textId="77777777" w:rsidR="00FB58AA" w:rsidRDefault="00FB58AA" w:rsidP="00764795">
      <w:r>
        <w:separator/>
      </w:r>
    </w:p>
  </w:endnote>
  <w:endnote w:type="continuationSeparator" w:id="0">
    <w:p w14:paraId="1605C1B6" w14:textId="77777777" w:rsidR="00FB58AA" w:rsidRDefault="00FB58AA" w:rsidP="0076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F90D" w14:textId="77777777" w:rsidR="00FB58AA" w:rsidRDefault="00FB58AA" w:rsidP="00764795">
      <w:r>
        <w:separator/>
      </w:r>
    </w:p>
  </w:footnote>
  <w:footnote w:type="continuationSeparator" w:id="0">
    <w:p w14:paraId="3812ED34" w14:textId="77777777" w:rsidR="00FB58AA" w:rsidRDefault="00FB58AA" w:rsidP="0076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B5EEB"/>
    <w:multiLevelType w:val="multilevel"/>
    <w:tmpl w:val="3BBE3120"/>
    <w:lvl w:ilvl="0">
      <w:start w:val="1"/>
      <w:numFmt w:val="decimal"/>
      <w:lvlText w:val="（%1）"/>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 w15:restartNumberingAfterBreak="0">
    <w:nsid w:val="53E3630E"/>
    <w:multiLevelType w:val="multilevel"/>
    <w:tmpl w:val="9648BBB6"/>
    <w:lvl w:ilvl="0">
      <w:start w:val="1"/>
      <w:numFmt w:val="decimal"/>
      <w:lvlText w:val="（%1）"/>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 w15:restartNumberingAfterBreak="0">
    <w:nsid w:val="68845037"/>
    <w:multiLevelType w:val="multilevel"/>
    <w:tmpl w:val="498CD9E8"/>
    <w:lvl w:ilvl="0">
      <w:start w:val="1"/>
      <w:numFmt w:val="decimal"/>
      <w:lvlText w:val="（%1）"/>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3" w15:restartNumberingAfterBreak="0">
    <w:nsid w:val="6CD45914"/>
    <w:multiLevelType w:val="multilevel"/>
    <w:tmpl w:val="18DCEE48"/>
    <w:lvl w:ilvl="0">
      <w:start w:val="1"/>
      <w:numFmt w:val="decimal"/>
      <w:lvlText w:val="（%1）"/>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1174610381">
    <w:abstractNumId w:val="1"/>
  </w:num>
  <w:num w:numId="2" w16cid:durableId="606079331">
    <w:abstractNumId w:val="0"/>
  </w:num>
  <w:num w:numId="3" w16cid:durableId="801463485">
    <w:abstractNumId w:val="3"/>
  </w:num>
  <w:num w:numId="4" w16cid:durableId="77883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61"/>
    <w:rsid w:val="000B1025"/>
    <w:rsid w:val="001608DC"/>
    <w:rsid w:val="001C0F7D"/>
    <w:rsid w:val="002540EA"/>
    <w:rsid w:val="002E1C75"/>
    <w:rsid w:val="004A74BC"/>
    <w:rsid w:val="005B445A"/>
    <w:rsid w:val="0067768A"/>
    <w:rsid w:val="00731975"/>
    <w:rsid w:val="00764795"/>
    <w:rsid w:val="008837BF"/>
    <w:rsid w:val="008C6E55"/>
    <w:rsid w:val="008D389B"/>
    <w:rsid w:val="008D3BDD"/>
    <w:rsid w:val="00914760"/>
    <w:rsid w:val="009279E3"/>
    <w:rsid w:val="00932E4E"/>
    <w:rsid w:val="00AA3906"/>
    <w:rsid w:val="00B73E41"/>
    <w:rsid w:val="00BA7585"/>
    <w:rsid w:val="00C301F5"/>
    <w:rsid w:val="00C91271"/>
    <w:rsid w:val="00D43532"/>
    <w:rsid w:val="00D86968"/>
    <w:rsid w:val="00D93361"/>
    <w:rsid w:val="00E10CE6"/>
    <w:rsid w:val="00E404F6"/>
    <w:rsid w:val="00E60B1F"/>
    <w:rsid w:val="00EC63E7"/>
    <w:rsid w:val="00F910A4"/>
    <w:rsid w:val="00FB58AA"/>
    <w:rsid w:val="00FE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0BE69"/>
  <w15:docId w15:val="{8C15A63D-C32E-43B8-B21A-F1E4BB05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header"/>
    <w:basedOn w:val="a"/>
    <w:link w:val="a9"/>
    <w:uiPriority w:val="99"/>
    <w:unhideWhenUsed/>
    <w:rsid w:val="00764795"/>
    <w:pPr>
      <w:tabs>
        <w:tab w:val="center" w:pos="4252"/>
        <w:tab w:val="right" w:pos="8504"/>
      </w:tabs>
      <w:snapToGrid w:val="0"/>
    </w:pPr>
  </w:style>
  <w:style w:type="character" w:customStyle="1" w:styleId="a9">
    <w:name w:val="ヘッダー (文字)"/>
    <w:basedOn w:val="a0"/>
    <w:link w:val="a8"/>
    <w:uiPriority w:val="99"/>
    <w:rsid w:val="00764795"/>
  </w:style>
  <w:style w:type="paragraph" w:styleId="aa">
    <w:name w:val="footer"/>
    <w:basedOn w:val="a"/>
    <w:link w:val="ab"/>
    <w:uiPriority w:val="99"/>
    <w:unhideWhenUsed/>
    <w:rsid w:val="00764795"/>
    <w:pPr>
      <w:tabs>
        <w:tab w:val="center" w:pos="4252"/>
        <w:tab w:val="right" w:pos="8504"/>
      </w:tabs>
      <w:snapToGrid w:val="0"/>
    </w:pPr>
  </w:style>
  <w:style w:type="character" w:customStyle="1" w:styleId="ab">
    <w:name w:val="フッター (文字)"/>
    <w:basedOn w:val="a0"/>
    <w:link w:val="aa"/>
    <w:uiPriority w:val="99"/>
    <w:rsid w:val="00764795"/>
  </w:style>
  <w:style w:type="paragraph" w:styleId="ac">
    <w:name w:val="Revision"/>
    <w:hidden/>
    <w:uiPriority w:val="99"/>
    <w:semiHidden/>
    <w:rsid w:val="00E10CE6"/>
  </w:style>
  <w:style w:type="paragraph" w:styleId="ad">
    <w:name w:val="Balloon Text"/>
    <w:basedOn w:val="a"/>
    <w:link w:val="ae"/>
    <w:uiPriority w:val="99"/>
    <w:semiHidden/>
    <w:unhideWhenUsed/>
    <w:rsid w:val="008837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37BF"/>
    <w:rPr>
      <w:rFonts w:asciiTheme="majorHAnsi" w:eastAsiaTheme="majorEastAsia" w:hAnsiTheme="majorHAnsi" w:cstheme="majorBidi"/>
      <w:sz w:val="18"/>
      <w:szCs w:val="18"/>
    </w:rPr>
  </w:style>
  <w:style w:type="paragraph" w:styleId="af">
    <w:name w:val="annotation subject"/>
    <w:basedOn w:val="a5"/>
    <w:next w:val="a5"/>
    <w:link w:val="af0"/>
    <w:uiPriority w:val="99"/>
    <w:semiHidden/>
    <w:unhideWhenUsed/>
    <w:rsid w:val="008837BF"/>
    <w:rPr>
      <w:b/>
      <w:bCs/>
    </w:rPr>
  </w:style>
  <w:style w:type="character" w:customStyle="1" w:styleId="af0">
    <w:name w:val="コメント内容 (文字)"/>
    <w:basedOn w:val="a6"/>
    <w:link w:val="af"/>
    <w:uiPriority w:val="99"/>
    <w:semiHidden/>
    <w:rsid w:val="00883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Ws0LgYX4MqrEfW1uhKPqNI/vQ==">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Pages>1</Pages>
  <Words>347</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e8b9c7efa72459c986b3caa125183f3">
    <vt:lpwstr>総務|a3bce275-a446-4fb1-a0c9-955a77cc0e27</vt:lpwstr>
  </property>
  <property fmtid="{D5CDD505-2E9C-101B-9397-08002B2CF9AE}" pid="3" name="TaxCatchAll">
    <vt:lpwstr>18;#</vt:lpwstr>
  </property>
  <property fmtid="{D5CDD505-2E9C-101B-9397-08002B2CF9AE}" pid="4" name="Category">
    <vt:lpwstr>18;#総務|a3bce275-a446-4fb1-a0c9-955a77cc0e27</vt:lpwstr>
  </property>
</Properties>
</file>